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3D74FC">
      <w:pPr>
        <w:rPr>
          <w:rFonts w:hint="eastAsia" w:ascii="黑体" w:hAnsi="黑体" w:eastAsia="黑体"/>
          <w:sz w:val="32"/>
          <w:szCs w:val="32"/>
        </w:rPr>
      </w:pPr>
    </w:p>
    <w:p w14:paraId="31BDD086">
      <w:pPr>
        <w:jc w:val="center"/>
        <w:rPr>
          <w:rFonts w:hint="eastAsia" w:ascii="方正小标宋_GBK" w:hAnsi="宋体" w:eastAsia="方正小标宋_GBK"/>
          <w:sz w:val="44"/>
          <w:szCs w:val="44"/>
        </w:rPr>
      </w:pPr>
    </w:p>
    <w:p w14:paraId="679E8468">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木垒哈萨克自治县人工影响天气办公室</w:t>
      </w:r>
    </w:p>
    <w:p w14:paraId="37040885">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(气象灾害防御中心)2023年度部门决算</w:t>
      </w:r>
    </w:p>
    <w:p w14:paraId="30C7A37E">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75D7F60E">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79077CC1">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2F49FA1D">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440D0A1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43481EB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40CF4BF1">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6BA120E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1F77711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443B5ED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34B2613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3A48E95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1A2C0DA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714030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45C5E59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5405797E">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7112B3F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758FA2E2">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2268BE4D">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27594FBD">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2854CF3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589F3F3C">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7049C619">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59419D19">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4534B73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126507A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48E4641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7CE1BEC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7B61612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61D965F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6C2AA41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3AE669B0">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347162AC">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7CE3433D">
      <w:r>
        <w:rPr>
          <w:rFonts w:hint="eastAsia" w:ascii="仿宋_GB2312" w:hAnsi="仿宋_GB2312" w:eastAsia="仿宋_GB2312" w:cs="仿宋_GB2312"/>
          <w:sz w:val="32"/>
          <w:szCs w:val="32"/>
        </w:rPr>
        <w:fldChar w:fldCharType="end"/>
      </w:r>
    </w:p>
    <w:p w14:paraId="3597646F">
      <w:pPr>
        <w:rPr>
          <w:rFonts w:ascii="仿宋_GB2312" w:eastAsia="仿宋_GB2312"/>
          <w:sz w:val="32"/>
          <w:szCs w:val="32"/>
        </w:rPr>
      </w:pPr>
      <w:r>
        <w:rPr>
          <w:rFonts w:hint="eastAsia" w:ascii="仿宋_GB2312" w:eastAsia="仿宋_GB2312"/>
          <w:sz w:val="32"/>
          <w:szCs w:val="32"/>
        </w:rPr>
        <w:br w:type="page"/>
      </w:r>
    </w:p>
    <w:p w14:paraId="0BF4D81C">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4B135F39">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7D1B4FC0">
      <w:pPr>
        <w:widowControl/>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1.贯彻执行国家、木垒县人民政府有关人工影响天气工作的方针政策、指导思想和基本原则；落实木垒县人民政府、木垒县气象局有关人工影响天气工作的计划、部署和指示。</w:t>
      </w:r>
    </w:p>
    <w:p w14:paraId="1BCF8073">
      <w:pPr>
        <w:widowControl/>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2.负责木垒县人工影响天气工作的组织、管理和指导；负责制定木垒县人工影响天气工作的发展规划和计划，并组织实施。</w:t>
      </w:r>
    </w:p>
    <w:p w14:paraId="027F6D75">
      <w:pPr>
        <w:widowControl/>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3.负责木垒县人工影响天气工作的法规建设；负责制定人工影响天气有关规章制度并监督执行；人工影响天气安全生产管理工作。</w:t>
      </w:r>
    </w:p>
    <w:p w14:paraId="6D96E563">
      <w:pPr>
        <w:widowControl/>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4.负责职责范围内行政许可项目的上报。强化“三证”制度的管理；负责木垒县人工影响天气作业装备的技术保障。</w:t>
      </w:r>
    </w:p>
    <w:p w14:paraId="50EAF689">
      <w:pPr>
        <w:widowControl/>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5.负责木垒县人工增雨（雪）工作的组织、协调和实施；做好突发事件的人工影响天气应急工作。</w:t>
      </w:r>
    </w:p>
    <w:p w14:paraId="6100C201">
      <w:pPr>
        <w:widowControl/>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6.负责木垒县人工影响天气业务建设的组织、管理和实施；负责木垒县人工影响天气。</w:t>
      </w:r>
    </w:p>
    <w:p w14:paraId="751F9134">
      <w:pPr>
        <w:widowControl/>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7.负责木垒县人工影响天气新技术、新装备的引进、推广应用和技术服务。</w:t>
      </w:r>
    </w:p>
    <w:p w14:paraId="571266DC">
      <w:pPr>
        <w:widowControl/>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8.负责木垒县人工影响天气专项经费的日常管理。</w:t>
      </w:r>
    </w:p>
    <w:p w14:paraId="7800E035">
      <w:pPr>
        <w:widowControl/>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9.负责组织木垒县人工影响天气工作的人员培训。</w:t>
      </w:r>
    </w:p>
    <w:p w14:paraId="54A64CBC">
      <w:pPr>
        <w:widowControl/>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10.承办木垒县人民政府、木垒县气象局交办的其它事项。</w:t>
      </w:r>
    </w:p>
    <w:p w14:paraId="3CCD51EA">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2BCC541A">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木垒哈萨克自治县人工影响天气办公室(气象灾害防御中心)2023年度，实有人数</w:t>
      </w:r>
      <w:r>
        <w:rPr>
          <w:rFonts w:hint="eastAsia" w:ascii="仿宋_GB2312" w:eastAsia="仿宋_GB2312"/>
          <w:sz w:val="32"/>
          <w:szCs w:val="32"/>
          <w:lang w:val="zh-CN"/>
        </w:rPr>
        <w:t>2</w:t>
      </w:r>
      <w:r>
        <w:rPr>
          <w:rFonts w:hint="eastAsia" w:ascii="仿宋_GB2312" w:eastAsia="仿宋_GB2312"/>
          <w:sz w:val="32"/>
          <w:szCs w:val="32"/>
        </w:rPr>
        <w:t>人，其中：在职人员</w:t>
      </w:r>
      <w:r>
        <w:rPr>
          <w:rFonts w:hint="eastAsia" w:ascii="仿宋_GB2312" w:eastAsia="仿宋_GB2312"/>
          <w:sz w:val="32"/>
          <w:szCs w:val="32"/>
          <w:lang w:val="zh-CN"/>
        </w:rPr>
        <w:t>2</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0</w:t>
      </w:r>
      <w:r>
        <w:rPr>
          <w:rFonts w:hint="eastAsia" w:ascii="仿宋_GB2312" w:eastAsia="仿宋_GB2312"/>
          <w:sz w:val="32"/>
          <w:szCs w:val="32"/>
        </w:rPr>
        <w:t>人。</w:t>
      </w:r>
    </w:p>
    <w:p w14:paraId="5A878221">
      <w:pPr>
        <w:ind w:firstLine="640" w:firstLineChars="200"/>
        <w:rPr>
          <w:rFonts w:ascii="仿宋_GB2312" w:eastAsia="仿宋_GB2312"/>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1</w:t>
      </w:r>
      <w:r>
        <w:rPr>
          <w:rFonts w:hint="eastAsia" w:ascii="仿宋_GB2312" w:hAnsi="黑体" w:eastAsia="仿宋_GB2312" w:cs="宋体"/>
          <w:bCs/>
          <w:kern w:val="0"/>
          <w:sz w:val="32"/>
          <w:szCs w:val="32"/>
        </w:rPr>
        <w:t>个处室，分别是：</w:t>
      </w:r>
      <w:r>
        <w:rPr>
          <w:rFonts w:hint="eastAsia" w:ascii="仿宋_GB2312" w:hAnsi="宋体" w:eastAsia="仿宋_GB2312" w:cs="宋体"/>
          <w:kern w:val="0"/>
          <w:sz w:val="32"/>
          <w:szCs w:val="32"/>
        </w:rPr>
        <w:t>办公室。</w:t>
      </w:r>
    </w:p>
    <w:p w14:paraId="5E38E19A">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14:paraId="4733BF77">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14:paraId="27450F00">
      <w:pPr>
        <w:ind w:firstLine="640" w:firstLineChars="200"/>
        <w:jc w:val="left"/>
        <w:rPr>
          <w:rFonts w:ascii="仿宋_GB2312" w:eastAsia="仿宋_GB2312"/>
          <w:sz w:val="32"/>
          <w:szCs w:val="32"/>
        </w:rPr>
      </w:pPr>
      <w:r>
        <w:rPr>
          <w:rFonts w:hint="eastAsia" w:ascii="仿宋_GB2312" w:eastAsia="仿宋_GB2312"/>
          <w:sz w:val="32"/>
          <w:szCs w:val="32"/>
        </w:rPr>
        <w:t>2023年度收入总计167.88万元，其中：本年收入合计167.88万元，使用非财政拨款结余0.00万元，年初结转和结余0.00万元。</w:t>
      </w:r>
    </w:p>
    <w:p w14:paraId="1F5D3384">
      <w:pPr>
        <w:ind w:firstLine="640" w:firstLineChars="200"/>
        <w:jc w:val="left"/>
        <w:rPr>
          <w:rFonts w:ascii="仿宋_GB2312" w:eastAsia="仿宋_GB2312"/>
          <w:sz w:val="32"/>
          <w:szCs w:val="32"/>
        </w:rPr>
      </w:pPr>
      <w:r>
        <w:rPr>
          <w:rFonts w:hint="eastAsia" w:ascii="仿宋_GB2312" w:eastAsia="仿宋_GB2312"/>
          <w:sz w:val="32"/>
          <w:szCs w:val="32"/>
        </w:rPr>
        <w:t>2023年度支出总计167.88万元，其中：本年支出合计167.88万元，结余分配0.00万元，年末结转和结余0.00万元。</w:t>
      </w:r>
    </w:p>
    <w:p w14:paraId="558E117D">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减少15.54万元</w:t>
      </w:r>
      <w:r>
        <w:rPr>
          <w:rFonts w:hint="eastAsia" w:ascii="仿宋_GB2312" w:eastAsia="仿宋_GB2312"/>
          <w:sz w:val="32"/>
          <w:szCs w:val="32"/>
        </w:rPr>
        <w:t>，下降8.47%，主要原因是：</w:t>
      </w:r>
      <w:r>
        <w:rPr>
          <w:rFonts w:hint="eastAsia" w:ascii="仿宋_GB2312" w:eastAsia="仿宋_GB2312"/>
          <w:sz w:val="32"/>
          <w:szCs w:val="32"/>
          <w:lang w:val="en-US" w:eastAsia="zh-CN"/>
        </w:rPr>
        <w:t>单位</w:t>
      </w:r>
      <w:r>
        <w:rPr>
          <w:rFonts w:hint="eastAsia" w:ascii="仿宋_GB2312" w:eastAsia="仿宋_GB2312"/>
          <w:sz w:val="32"/>
          <w:szCs w:val="32"/>
        </w:rPr>
        <w:t>本年减少人影作业指挥作业系统项目经费</w:t>
      </w:r>
      <w:r>
        <w:rPr>
          <w:rFonts w:hint="eastAsia" w:ascii="仿宋_GB2312" w:eastAsia="仿宋_GB2312"/>
          <w:sz w:val="32"/>
          <w:szCs w:val="32"/>
          <w:lang w:eastAsia="zh-CN"/>
        </w:rPr>
        <w:t>、</w:t>
      </w:r>
      <w:r>
        <w:rPr>
          <w:rFonts w:hint="eastAsia" w:ascii="仿宋_GB2312" w:eastAsia="仿宋_GB2312"/>
          <w:kern w:val="2"/>
          <w:sz w:val="32"/>
          <w:szCs w:val="32"/>
          <w:lang w:val="zh-CN"/>
        </w:rPr>
        <w:t>全国第一次自然灾害综合风险普查项目经费</w:t>
      </w:r>
      <w:r>
        <w:rPr>
          <w:rFonts w:hint="eastAsia" w:ascii="仿宋_GB2312" w:eastAsia="仿宋_GB2312"/>
          <w:sz w:val="32"/>
          <w:szCs w:val="32"/>
        </w:rPr>
        <w:t>。</w:t>
      </w:r>
    </w:p>
    <w:p w14:paraId="4641CDA3">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657ACF43">
      <w:pPr>
        <w:ind w:firstLine="640" w:firstLineChars="200"/>
        <w:jc w:val="left"/>
        <w:rPr>
          <w:rFonts w:ascii="仿宋_GB2312" w:eastAsia="仿宋_GB2312"/>
          <w:sz w:val="32"/>
          <w:szCs w:val="32"/>
        </w:rPr>
      </w:pPr>
      <w:r>
        <w:rPr>
          <w:rFonts w:hint="eastAsia" w:ascii="仿宋_GB2312" w:eastAsia="仿宋_GB2312"/>
          <w:sz w:val="32"/>
          <w:szCs w:val="32"/>
        </w:rPr>
        <w:t>本年收入167.88万元，其中：财政拨款收入</w:t>
      </w:r>
      <w:r>
        <w:rPr>
          <w:rFonts w:hint="eastAsia" w:ascii="仿宋_GB2312" w:eastAsia="仿宋_GB2312"/>
          <w:sz w:val="32"/>
          <w:szCs w:val="32"/>
          <w:lang w:val="zh-CN"/>
        </w:rPr>
        <w:t>167.88</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14:paraId="336E3081">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2547A5AC">
      <w:pPr>
        <w:ind w:firstLine="640" w:firstLineChars="200"/>
        <w:jc w:val="left"/>
        <w:rPr>
          <w:rFonts w:ascii="仿宋_GB2312" w:eastAsia="仿宋_GB2312"/>
          <w:sz w:val="32"/>
          <w:szCs w:val="32"/>
        </w:rPr>
      </w:pPr>
      <w:r>
        <w:rPr>
          <w:rFonts w:hint="eastAsia" w:ascii="仿宋_GB2312" w:eastAsia="仿宋_GB2312"/>
          <w:sz w:val="32"/>
          <w:szCs w:val="32"/>
        </w:rPr>
        <w:t>本年支出167.88万元，其中：基本支出167.88万元，占100.00%；项目支出0.00万元，占0.00%；上缴上级支出0.00万元，占0.00%；经营支出0.00万元，占0.00%；对附属单位补助支出0.00万元，占0.00%。</w:t>
      </w:r>
    </w:p>
    <w:p w14:paraId="48AB8509">
      <w:pPr>
        <w:ind w:firstLine="640" w:firstLineChars="200"/>
        <w:jc w:val="left"/>
        <w:outlineLvl w:val="1"/>
        <w:rPr>
          <w:rFonts w:hint="eastAsia"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14:paraId="771B8408">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167.88</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167.88</w:t>
      </w:r>
      <w:r>
        <w:rPr>
          <w:rFonts w:hint="eastAsia" w:ascii="仿宋_GB2312" w:eastAsia="仿宋_GB2312"/>
          <w:sz w:val="32"/>
          <w:szCs w:val="32"/>
        </w:rPr>
        <w:t>万元。财政拨款支出总计</w:t>
      </w:r>
      <w:r>
        <w:rPr>
          <w:rFonts w:hint="eastAsia" w:ascii="仿宋_GB2312" w:eastAsia="仿宋_GB2312"/>
          <w:sz w:val="32"/>
          <w:szCs w:val="32"/>
          <w:lang w:val="zh-CN"/>
        </w:rPr>
        <w:t>167.88</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167.88</w:t>
      </w:r>
      <w:r>
        <w:rPr>
          <w:rFonts w:hint="eastAsia" w:ascii="仿宋_GB2312" w:eastAsia="仿宋_GB2312"/>
          <w:sz w:val="32"/>
          <w:szCs w:val="32"/>
        </w:rPr>
        <w:t>万元。</w:t>
      </w:r>
    </w:p>
    <w:p w14:paraId="75A517F8">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减少15.54万元</w:t>
      </w:r>
      <w:r>
        <w:rPr>
          <w:rFonts w:hint="eastAsia" w:ascii="仿宋_GB2312" w:eastAsia="仿宋_GB2312"/>
          <w:sz w:val="32"/>
          <w:szCs w:val="32"/>
        </w:rPr>
        <w:t>，下降8.47%,主要原因是：</w:t>
      </w:r>
      <w:r>
        <w:rPr>
          <w:rFonts w:hint="eastAsia" w:ascii="仿宋_GB2312" w:eastAsia="仿宋_GB2312"/>
          <w:sz w:val="32"/>
          <w:szCs w:val="32"/>
          <w:lang w:val="en-US" w:eastAsia="zh-CN"/>
        </w:rPr>
        <w:t>单位</w:t>
      </w:r>
      <w:r>
        <w:rPr>
          <w:rFonts w:hint="eastAsia" w:ascii="仿宋_GB2312" w:eastAsia="仿宋_GB2312"/>
          <w:sz w:val="32"/>
          <w:szCs w:val="32"/>
        </w:rPr>
        <w:t>本年减少人影作业指挥作业系统项目经费</w:t>
      </w:r>
      <w:r>
        <w:rPr>
          <w:rFonts w:hint="eastAsia" w:ascii="仿宋_GB2312" w:eastAsia="仿宋_GB2312"/>
          <w:sz w:val="32"/>
          <w:szCs w:val="32"/>
          <w:lang w:eastAsia="zh-CN"/>
        </w:rPr>
        <w:t>、</w:t>
      </w:r>
      <w:r>
        <w:rPr>
          <w:rFonts w:hint="eastAsia" w:ascii="仿宋_GB2312" w:eastAsia="仿宋_GB2312"/>
          <w:kern w:val="2"/>
          <w:sz w:val="32"/>
          <w:szCs w:val="32"/>
          <w:lang w:val="zh-CN"/>
        </w:rPr>
        <w:t>全国第一次自然灾害综合风险普查项目经费</w:t>
      </w:r>
      <w:r>
        <w:rPr>
          <w:rFonts w:hint="eastAsia" w:ascii="仿宋_GB2312" w:eastAsia="仿宋_GB2312"/>
          <w:sz w:val="32"/>
          <w:szCs w:val="32"/>
        </w:rPr>
        <w:t>。与年初预算相比，年初预算数</w:t>
      </w:r>
      <w:r>
        <w:rPr>
          <w:rFonts w:hint="eastAsia" w:ascii="仿宋_GB2312" w:eastAsia="仿宋_GB2312"/>
          <w:sz w:val="32"/>
          <w:szCs w:val="32"/>
          <w:lang w:val="zh-CN"/>
        </w:rPr>
        <w:t>198.75</w:t>
      </w:r>
      <w:r>
        <w:rPr>
          <w:rFonts w:hint="eastAsia" w:ascii="仿宋_GB2312" w:eastAsia="仿宋_GB2312"/>
          <w:sz w:val="32"/>
          <w:szCs w:val="32"/>
        </w:rPr>
        <w:t>万元，决算数</w:t>
      </w:r>
      <w:r>
        <w:rPr>
          <w:rFonts w:hint="eastAsia" w:ascii="仿宋_GB2312" w:eastAsia="仿宋_GB2312"/>
          <w:sz w:val="32"/>
          <w:szCs w:val="32"/>
          <w:lang w:val="zh-CN"/>
        </w:rPr>
        <w:t>167.88</w:t>
      </w:r>
      <w:r>
        <w:rPr>
          <w:rFonts w:hint="eastAsia" w:ascii="仿宋_GB2312" w:eastAsia="仿宋_GB2312"/>
          <w:sz w:val="32"/>
          <w:szCs w:val="32"/>
        </w:rPr>
        <w:t>万元，预决算差异率-15.53%，主要原因是：</w:t>
      </w:r>
      <w:r>
        <w:rPr>
          <w:rFonts w:hint="eastAsia" w:ascii="仿宋_GB2312" w:eastAsia="仿宋_GB2312"/>
          <w:sz w:val="32"/>
          <w:szCs w:val="32"/>
          <w:lang w:val="en-US" w:eastAsia="zh-CN"/>
        </w:rPr>
        <w:t>较预算减少</w:t>
      </w:r>
      <w:r>
        <w:rPr>
          <w:rFonts w:hint="eastAsia" w:ascii="仿宋_GB2312" w:eastAsia="仿宋_GB2312"/>
          <w:sz w:val="32"/>
          <w:szCs w:val="32"/>
        </w:rPr>
        <w:t>人影作业指挥作业系统项目经费</w:t>
      </w:r>
      <w:r>
        <w:rPr>
          <w:rFonts w:hint="eastAsia" w:ascii="仿宋_GB2312" w:eastAsia="仿宋_GB2312"/>
          <w:sz w:val="32"/>
          <w:szCs w:val="32"/>
          <w:lang w:eastAsia="zh-CN"/>
        </w:rPr>
        <w:t>、</w:t>
      </w:r>
      <w:r>
        <w:rPr>
          <w:rFonts w:hint="eastAsia" w:ascii="仿宋_GB2312" w:eastAsia="仿宋_GB2312"/>
          <w:kern w:val="2"/>
          <w:sz w:val="32"/>
          <w:szCs w:val="32"/>
          <w:lang w:val="zh-CN"/>
        </w:rPr>
        <w:t>全国第一次自然灾害综合风险普查项目经费</w:t>
      </w:r>
      <w:r>
        <w:rPr>
          <w:rFonts w:hint="eastAsia" w:ascii="仿宋_GB2312" w:eastAsia="仿宋_GB2312"/>
          <w:sz w:val="32"/>
          <w:szCs w:val="32"/>
        </w:rPr>
        <w:t>。</w:t>
      </w:r>
    </w:p>
    <w:p w14:paraId="5995890B">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58B73FE3">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091ADFF4">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2023年度一般公共预算财政拨款支出167.88万元，占本年支出合计的</w:t>
      </w:r>
      <w:r>
        <w:rPr>
          <w:rFonts w:hint="eastAsia" w:ascii="仿宋_GB2312" w:eastAsia="仿宋_GB2312"/>
          <w:sz w:val="32"/>
          <w:szCs w:val="32"/>
          <w:lang w:val="zh-CN"/>
        </w:rPr>
        <w:t>100.00%</w:t>
      </w:r>
      <w:r>
        <w:rPr>
          <w:rFonts w:hint="eastAsia" w:ascii="仿宋_GB2312" w:eastAsia="仿宋_GB2312"/>
          <w:sz w:val="32"/>
          <w:szCs w:val="32"/>
        </w:rPr>
        <w:t>。与上年相比，</w:t>
      </w:r>
      <w:r>
        <w:rPr>
          <w:rFonts w:hint="eastAsia" w:ascii="仿宋_GB2312" w:eastAsia="仿宋_GB2312"/>
          <w:sz w:val="32"/>
          <w:szCs w:val="32"/>
          <w:lang w:val="zh-CN"/>
        </w:rPr>
        <w:t>减少15.54万元</w:t>
      </w:r>
      <w:r>
        <w:rPr>
          <w:rFonts w:hint="eastAsia" w:ascii="仿宋_GB2312" w:eastAsia="仿宋_GB2312"/>
          <w:sz w:val="32"/>
          <w:szCs w:val="32"/>
        </w:rPr>
        <w:t>，下降8.47%,主要原因是：</w:t>
      </w:r>
      <w:r>
        <w:rPr>
          <w:rFonts w:hint="eastAsia" w:ascii="仿宋_GB2312" w:eastAsia="仿宋_GB2312"/>
          <w:sz w:val="32"/>
          <w:szCs w:val="32"/>
          <w:lang w:val="en-US" w:eastAsia="zh-CN"/>
        </w:rPr>
        <w:t>单位</w:t>
      </w:r>
      <w:r>
        <w:rPr>
          <w:rFonts w:hint="eastAsia" w:ascii="仿宋_GB2312" w:eastAsia="仿宋_GB2312"/>
          <w:sz w:val="32"/>
          <w:szCs w:val="32"/>
        </w:rPr>
        <w:t>本年减少人影作业指挥作业系统项目经费</w:t>
      </w:r>
      <w:r>
        <w:rPr>
          <w:rFonts w:hint="eastAsia" w:ascii="仿宋_GB2312" w:eastAsia="仿宋_GB2312"/>
          <w:sz w:val="32"/>
          <w:szCs w:val="32"/>
          <w:lang w:eastAsia="zh-CN"/>
        </w:rPr>
        <w:t>、</w:t>
      </w:r>
      <w:r>
        <w:rPr>
          <w:rFonts w:hint="eastAsia" w:ascii="仿宋_GB2312" w:eastAsia="仿宋_GB2312"/>
          <w:kern w:val="2"/>
          <w:sz w:val="32"/>
          <w:szCs w:val="32"/>
          <w:lang w:val="zh-CN"/>
        </w:rPr>
        <w:t>全国第一次自然灾害综合风险普查项目经费</w:t>
      </w:r>
      <w:r>
        <w:rPr>
          <w:rFonts w:hint="eastAsia" w:ascii="仿宋_GB2312" w:eastAsia="仿宋_GB2312"/>
          <w:sz w:val="32"/>
          <w:szCs w:val="32"/>
        </w:rPr>
        <w:t>。与年初预算相比，年初预算数</w:t>
      </w:r>
      <w:r>
        <w:rPr>
          <w:rFonts w:hint="eastAsia" w:ascii="仿宋_GB2312" w:eastAsia="仿宋_GB2312"/>
          <w:sz w:val="32"/>
          <w:szCs w:val="32"/>
          <w:lang w:val="zh-CN"/>
        </w:rPr>
        <w:t>198.75</w:t>
      </w:r>
      <w:r>
        <w:rPr>
          <w:rFonts w:hint="eastAsia" w:ascii="仿宋_GB2312" w:eastAsia="仿宋_GB2312"/>
          <w:sz w:val="32"/>
          <w:szCs w:val="32"/>
        </w:rPr>
        <w:t>万元，决算数</w:t>
      </w:r>
      <w:r>
        <w:rPr>
          <w:rFonts w:hint="eastAsia" w:ascii="仿宋_GB2312" w:eastAsia="仿宋_GB2312"/>
          <w:sz w:val="32"/>
          <w:szCs w:val="32"/>
          <w:lang w:val="zh-CN"/>
        </w:rPr>
        <w:t>167.88</w:t>
      </w:r>
      <w:r>
        <w:rPr>
          <w:rFonts w:hint="eastAsia" w:ascii="仿宋_GB2312" w:eastAsia="仿宋_GB2312"/>
          <w:sz w:val="32"/>
          <w:szCs w:val="32"/>
        </w:rPr>
        <w:t>万元，预决算差异率</w:t>
      </w:r>
      <w:r>
        <w:rPr>
          <w:rFonts w:hint="eastAsia" w:ascii="仿宋_GB2312" w:eastAsia="仿宋_GB2312"/>
          <w:sz w:val="32"/>
          <w:szCs w:val="32"/>
          <w:lang w:val="zh-CN"/>
        </w:rPr>
        <w:t>-15.53%</w:t>
      </w:r>
      <w:r>
        <w:rPr>
          <w:rFonts w:hint="eastAsia" w:ascii="仿宋_GB2312" w:eastAsia="仿宋_GB2312"/>
          <w:sz w:val="32"/>
          <w:szCs w:val="32"/>
        </w:rPr>
        <w:t>，主要原因是：</w:t>
      </w:r>
      <w:r>
        <w:rPr>
          <w:rFonts w:hint="eastAsia" w:ascii="仿宋_GB2312" w:eastAsia="仿宋_GB2312"/>
          <w:sz w:val="32"/>
          <w:szCs w:val="32"/>
          <w:lang w:val="en-US" w:eastAsia="zh-CN"/>
        </w:rPr>
        <w:t>较预算减少</w:t>
      </w:r>
      <w:r>
        <w:rPr>
          <w:rFonts w:hint="eastAsia" w:ascii="仿宋_GB2312" w:eastAsia="仿宋_GB2312"/>
          <w:sz w:val="32"/>
          <w:szCs w:val="32"/>
        </w:rPr>
        <w:t>人影作业指挥作业系统项目经费</w:t>
      </w:r>
      <w:r>
        <w:rPr>
          <w:rFonts w:hint="eastAsia" w:ascii="仿宋_GB2312" w:eastAsia="仿宋_GB2312"/>
          <w:sz w:val="32"/>
          <w:szCs w:val="32"/>
          <w:lang w:eastAsia="zh-CN"/>
        </w:rPr>
        <w:t>、</w:t>
      </w:r>
      <w:r>
        <w:rPr>
          <w:rFonts w:hint="eastAsia" w:ascii="仿宋_GB2312" w:eastAsia="仿宋_GB2312"/>
          <w:kern w:val="2"/>
          <w:sz w:val="32"/>
          <w:szCs w:val="32"/>
          <w:lang w:val="zh-CN"/>
        </w:rPr>
        <w:t>全国第一次自然灾害综合风险普查项目经费</w:t>
      </w:r>
      <w:r>
        <w:rPr>
          <w:rFonts w:hint="eastAsia" w:ascii="仿宋_GB2312" w:eastAsia="仿宋_GB2312"/>
          <w:sz w:val="32"/>
          <w:szCs w:val="32"/>
        </w:rPr>
        <w:t>。</w:t>
      </w:r>
    </w:p>
    <w:p w14:paraId="670E4A1D">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73F8B634">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2.46</w:t>
      </w:r>
      <w:r>
        <w:rPr>
          <w:rFonts w:ascii="仿宋_GB2312" w:eastAsia="仿宋_GB2312"/>
          <w:kern w:val="2"/>
          <w:sz w:val="32"/>
          <w:szCs w:val="32"/>
          <w:lang w:val="zh-CN"/>
        </w:rPr>
        <w:t>万元，占</w:t>
      </w:r>
      <w:r>
        <w:rPr>
          <w:rFonts w:hint="eastAsia" w:ascii="仿宋_GB2312" w:eastAsia="仿宋_GB2312"/>
          <w:kern w:val="2"/>
          <w:sz w:val="32"/>
          <w:szCs w:val="32"/>
          <w:lang w:val="zh-CN"/>
        </w:rPr>
        <w:t>1.47</w:t>
      </w:r>
      <w:r>
        <w:rPr>
          <w:rFonts w:ascii="仿宋_GB2312" w:eastAsia="仿宋_GB2312"/>
          <w:kern w:val="2"/>
          <w:sz w:val="32"/>
          <w:szCs w:val="32"/>
          <w:lang w:val="zh-CN"/>
        </w:rPr>
        <w:t>%；</w:t>
      </w:r>
    </w:p>
    <w:p w14:paraId="675C0CB9">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w:t>
      </w:r>
      <w:r>
        <w:rPr>
          <w:rFonts w:ascii="仿宋_GB2312" w:eastAsia="仿宋_GB2312"/>
          <w:kern w:val="2"/>
          <w:sz w:val="32"/>
          <w:szCs w:val="32"/>
          <w:lang w:val="zh-CN"/>
        </w:rPr>
        <w:t>.农林水支出（类）</w:t>
      </w:r>
      <w:r>
        <w:rPr>
          <w:rFonts w:hint="eastAsia" w:ascii="仿宋_GB2312" w:eastAsia="仿宋_GB2312"/>
          <w:kern w:val="2"/>
          <w:sz w:val="32"/>
          <w:szCs w:val="32"/>
          <w:lang w:val="zh-CN"/>
        </w:rPr>
        <w:t>163.48</w:t>
      </w:r>
      <w:r>
        <w:rPr>
          <w:rFonts w:ascii="仿宋_GB2312" w:eastAsia="仿宋_GB2312"/>
          <w:kern w:val="2"/>
          <w:sz w:val="32"/>
          <w:szCs w:val="32"/>
          <w:lang w:val="zh-CN"/>
        </w:rPr>
        <w:t>万元，占</w:t>
      </w:r>
      <w:r>
        <w:rPr>
          <w:rFonts w:hint="eastAsia" w:ascii="仿宋_GB2312" w:eastAsia="仿宋_GB2312"/>
          <w:kern w:val="2"/>
          <w:sz w:val="32"/>
          <w:szCs w:val="32"/>
          <w:lang w:val="zh-CN"/>
        </w:rPr>
        <w:t>97.38</w:t>
      </w:r>
      <w:r>
        <w:rPr>
          <w:rFonts w:ascii="仿宋_GB2312" w:eastAsia="仿宋_GB2312"/>
          <w:kern w:val="2"/>
          <w:sz w:val="32"/>
          <w:szCs w:val="32"/>
          <w:lang w:val="zh-CN"/>
        </w:rPr>
        <w:t>%；</w:t>
      </w:r>
    </w:p>
    <w:p w14:paraId="7A9D29AE">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3</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1.93</w:t>
      </w:r>
      <w:r>
        <w:rPr>
          <w:rFonts w:ascii="仿宋_GB2312" w:eastAsia="仿宋_GB2312"/>
          <w:kern w:val="2"/>
          <w:sz w:val="32"/>
          <w:szCs w:val="32"/>
          <w:lang w:val="zh-CN"/>
        </w:rPr>
        <w:t>万元，占</w:t>
      </w:r>
      <w:r>
        <w:rPr>
          <w:rFonts w:hint="eastAsia" w:ascii="仿宋_GB2312" w:eastAsia="仿宋_GB2312"/>
          <w:kern w:val="2"/>
          <w:sz w:val="32"/>
          <w:szCs w:val="32"/>
          <w:lang w:val="zh-CN"/>
        </w:rPr>
        <w:t>1.15</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742F9C16">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6183DF2B">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1.农林水支出（类）农业农村（款）事业运行（项）:支出决算数为163.48万元，比上年决算增加127.87万元，增长359.08%，主要原因是：单位本年人员工资调增，相应人员工资、津贴补贴、奖金增加。</w:t>
      </w:r>
    </w:p>
    <w:p w14:paraId="1B15531C">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2.住房保障支出（类）住房改革支出（款）住房公积金（项）:支出决算数为1.93万元，比上年决算增加0.14万元，增长7.82%，主要原因是：单位本年人员工资调增，相应人员公积金缴费增加。</w:t>
      </w:r>
    </w:p>
    <w:p w14:paraId="1C220E86">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3.社会保障和就业支出（类）行政事业单位养老支出（款）机关事业单位基本养老保险缴费支出（项）:支出决算数为2.46万元，比上年决算增加0.34万元，增长16.04%，主要原因是：单位本年人员工资调增，相应人员养老保险缴费增加。</w:t>
      </w:r>
    </w:p>
    <w:p w14:paraId="6193EABE">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4.灾害防治及应急管理支出（类）应急管理事务（款）灾害风险防治（项）:支出决算数为0.00万元，比上年决算减少5.00万元，下降100%，主要原因是：单位本年减少全国第一次自然灾害综合风险普查项目经费。</w:t>
      </w:r>
    </w:p>
    <w:p w14:paraId="05F8391B">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5.农林水支出（类）水利（款）抗旱（项）:支出决算数为0.00万元，比上年决算减少49.74万元，下降100%，主要原因是：单位本年减少人影野外作业补助项目经费。</w:t>
      </w:r>
    </w:p>
    <w:p w14:paraId="03FEFFEA">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6.农林水支出（类）农业农村（款）其他农业农村支出（项）:支出决算数为0.00万元，比上年决算减少89.17万元，下降100%，主要原因是：单位本年减少人影作业指挥作业系统项目经费。</w:t>
      </w:r>
    </w:p>
    <w:p w14:paraId="68AC7472">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3AFC3257">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167.88万元，其中：人员经费45.08万元，包括：基本工资、津贴补贴、奖金、机关事业单位基本养老保险缴费、职工基本医疗保险缴费、其他社会保障缴费、住房公积金、其他工资福利支出。</w:t>
      </w:r>
    </w:p>
    <w:p w14:paraId="18D16F59">
      <w:pPr>
        <w:ind w:firstLine="640" w:firstLineChars="200"/>
        <w:jc w:val="left"/>
        <w:rPr>
          <w:rFonts w:hint="eastAsia" w:ascii="仿宋_GB2312" w:hAnsi="宋体" w:eastAsia="仿宋_GB2312" w:cs="宋体"/>
          <w:kern w:val="0"/>
          <w:sz w:val="32"/>
          <w:szCs w:val="32"/>
        </w:rPr>
      </w:pPr>
      <w:r>
        <w:rPr>
          <w:rFonts w:hint="eastAsia" w:ascii="仿宋_GB2312" w:eastAsia="仿宋_GB2312"/>
          <w:sz w:val="32"/>
          <w:szCs w:val="32"/>
        </w:rPr>
        <w:t>公用经费122.80万元，包括：办公费、邮电费、差旅费、维修（护）费、专用材料费、劳务费、委托业务费、其他交通费用。</w:t>
      </w:r>
    </w:p>
    <w:p w14:paraId="35A97649">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412B96E7">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主要原因是：本年我单位无此经费。其中：因公出国（境）费支出0.00万元，占0.00%，比上年增加0.00万元，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主要原因是：本年我单位无此经费；公务用车购置及运行维护费支出0.00万元，占0.00%，比上年增加0.00万元，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主要原因是：本年我单位无此经费；公务接待费支出0.00万元，占0.00%，比上年增加0.00万元，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主要原因是：本年我单位无此经费。</w:t>
      </w:r>
    </w:p>
    <w:p w14:paraId="4048E13A">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46F54895">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因公出国（境）费支出0.00万元，开支内容包括本年我单位无此经费。单位全年安排的因公出国（境）团组0个，因公出国（境）0人次。</w:t>
      </w:r>
    </w:p>
    <w:p w14:paraId="4AEE6627">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本年我单位无此经费。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5辆，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原因是：差异车辆为一般业务用车5辆，预算未安排公务用车运行维护费。</w:t>
      </w:r>
    </w:p>
    <w:p w14:paraId="36D1C0D5">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公务接待费0.00万元，开支内容包括本年我单位无此经费。单位全年安排的国内公务接待0批次，0人次。</w:t>
      </w:r>
    </w:p>
    <w:p w14:paraId="27DF7CFA">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预算数0.00万元，决算数0.00万元，预决算差异率0.00%，主要原因是：本年我单位无此经费。其中：因公出国（境）费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0.00万元，决算数0.00万元，预决算差异率0.00%，主要原因是：本年我单位无此经费；公务用车购置费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预算数0.00万元，决算数0.00万元，预决算差异率0.00%，主要原因是：本年我单位无此经费；公务用车运行费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预算数0.00万元，决算数0.00万元，预决算差异率0.00%，主要原因是：本年我单位无此经费；公务接待费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预算数0.00万元，决算数0.00万元，预决算差异率0.00%，主要原因是：本年我单位无此经费。</w:t>
      </w:r>
    </w:p>
    <w:p w14:paraId="43CA553E">
      <w:pPr>
        <w:ind w:firstLine="640" w:firstLineChars="200"/>
        <w:jc w:val="left"/>
        <w:outlineLvl w:val="1"/>
        <w:rPr>
          <w:rFonts w:hint="eastAsia"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14:paraId="3FFC1F64">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1051C4CD">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595AB56F">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663695F3">
      <w:pPr>
        <w:ind w:firstLine="640" w:firstLineChars="200"/>
        <w:jc w:val="left"/>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14:paraId="572385C9">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14:paraId="08D04930">
      <w:pPr>
        <w:ind w:firstLine="640" w:firstLineChars="200"/>
        <w:jc w:val="left"/>
        <w:rPr>
          <w:rFonts w:ascii="仿宋_GB2312" w:eastAsia="仿宋_GB2312"/>
          <w:sz w:val="32"/>
          <w:szCs w:val="32"/>
        </w:rPr>
      </w:pPr>
      <w:bookmarkStart w:id="24" w:name="_Toc227"/>
      <w:bookmarkStart w:id="25" w:name="_Toc26704"/>
      <w:r>
        <w:rPr>
          <w:rFonts w:hint="eastAsia" w:ascii="仿宋_GB2312" w:eastAsia="仿宋_GB2312"/>
          <w:sz w:val="32"/>
          <w:szCs w:val="32"/>
        </w:rPr>
        <w:t>2023年度木垒哈萨克自治县人工影响天气办公室(气象灾害防御中心)（事业单位）公用经费支出122.80万元，比上年增加</w:t>
      </w:r>
      <w:r>
        <w:rPr>
          <w:rFonts w:hint="eastAsia" w:ascii="仿宋_GB2312" w:hAnsi="仿宋_GB2312" w:eastAsia="仿宋_GB2312" w:cs="仿宋_GB2312"/>
          <w:sz w:val="32"/>
          <w:szCs w:val="32"/>
          <w:lang w:val="zh-CN"/>
        </w:rPr>
        <w:t>104.01万元，增长553.54</w:t>
      </w:r>
      <w:r>
        <w:rPr>
          <w:rFonts w:hint="eastAsia" w:ascii="仿宋_GB2312" w:eastAsia="仿宋_GB2312"/>
          <w:sz w:val="32"/>
          <w:szCs w:val="32"/>
        </w:rPr>
        <w:t>%，主要原因是：本年办公费、差旅费、专用材料费等增加。</w:t>
      </w:r>
    </w:p>
    <w:p w14:paraId="39946FC2">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0E903D98">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2023年度政府采购支出总额0.00万元，其中：政府采购货物支出0.00万元、政府采购工程支出0.00万元、政府采购服务支出0.00万元。</w:t>
      </w:r>
    </w:p>
    <w:p w14:paraId="4E97BB12">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授予中小企业合同金额0.00万元，占政府采购支出总额的0.00</w:t>
      </w:r>
      <w:r>
        <w:rPr>
          <w:rFonts w:ascii="仿宋_GB2312" w:eastAsia="仿宋_GB2312"/>
          <w:sz w:val="32"/>
          <w:szCs w:val="32"/>
        </w:rPr>
        <w:t>%</w:t>
      </w:r>
      <w:r>
        <w:rPr>
          <w:rFonts w:hint="eastAsia" w:ascii="仿宋_GB2312" w:eastAsia="仿宋_GB2312"/>
          <w:sz w:val="32"/>
          <w:szCs w:val="32"/>
        </w:rPr>
        <w:t>，其中：授予小微企业合同金额0.00万元，占政府采购支出总额的0.00</w:t>
      </w:r>
      <w:r>
        <w:rPr>
          <w:rFonts w:ascii="仿宋_GB2312" w:eastAsia="仿宋_GB2312"/>
          <w:sz w:val="32"/>
          <w:szCs w:val="32"/>
        </w:rPr>
        <w:t>%</w:t>
      </w:r>
      <w:r>
        <w:rPr>
          <w:rFonts w:hint="eastAsia" w:ascii="仿宋_GB2312" w:eastAsia="仿宋_GB2312"/>
          <w:sz w:val="32"/>
          <w:szCs w:val="32"/>
        </w:rPr>
        <w:t>。</w:t>
      </w:r>
    </w:p>
    <w:p w14:paraId="2DF08CFD">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005D8B86">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57.51万元，房屋0.00平方米，价值0.00万元。车辆5辆，价值57.51万元，其中：副部（省）级及以上领导用车0辆、主要负责人用车0辆、机要通信用车0辆、应急保障用车0辆、执法执勤用车0辆、特种专业技术用车0辆、离退休干部服务用车0辆、其他用车5辆，其他用车主要是：</w:t>
      </w:r>
      <w:r>
        <w:rPr>
          <w:rFonts w:hint="eastAsia" w:eastAsia="仿宋_GB2312"/>
          <w:sz w:val="32"/>
          <w:szCs w:val="32"/>
          <w:lang w:val="zh-CN"/>
        </w:rPr>
        <w:t>单位业务用车</w:t>
      </w:r>
      <w:r>
        <w:rPr>
          <w:rFonts w:hint="eastAsia" w:ascii="仿宋_GB2312" w:eastAsia="仿宋_GB2312"/>
          <w:sz w:val="32"/>
          <w:szCs w:val="32"/>
        </w:rPr>
        <w:t>；单价100万元（含）以上设备（不含车辆）0台（套）。</w:t>
      </w:r>
    </w:p>
    <w:p w14:paraId="1FBE3D58">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60440C25">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167.88</w:t>
      </w:r>
      <w:r>
        <w:rPr>
          <w:rFonts w:hint="eastAsia" w:ascii="仿宋_GB2312" w:eastAsia="仿宋_GB2312"/>
          <w:sz w:val="32"/>
          <w:szCs w:val="32"/>
        </w:rPr>
        <w:t>万元，实际执行总额</w:t>
      </w:r>
      <w:r>
        <w:rPr>
          <w:rFonts w:ascii="仿宋_GB2312" w:eastAsia="仿宋_GB2312"/>
          <w:sz w:val="32"/>
          <w:szCs w:val="32"/>
        </w:rPr>
        <w:t>167.88</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预算绩效评价项目0个，全年预算数0.00万元，全年执行数0.00万元。预算绩效管理取得的成效：一是</w:t>
      </w:r>
      <w:r>
        <w:rPr>
          <w:rFonts w:hint="eastAsia" w:ascii="仿宋_GB2312" w:hAnsi="宋体" w:eastAsia="仿宋_GB2312"/>
          <w:bCs/>
          <w:sz w:val="32"/>
          <w:szCs w:val="32"/>
        </w:rPr>
        <w:t>全力保障县域内已建成的30套地面碘化银烟炉和5套火箭作业系统的业务运行</w:t>
      </w:r>
      <w:r>
        <w:rPr>
          <w:rFonts w:hint="eastAsia" w:ascii="仿宋_GB2312" w:eastAsia="仿宋_GB2312"/>
          <w:sz w:val="32"/>
          <w:szCs w:val="32"/>
        </w:rPr>
        <w:t>；二是</w:t>
      </w:r>
      <w:r>
        <w:rPr>
          <w:rFonts w:hint="eastAsia" w:ascii="仿宋_GB2312" w:hAnsi="宋体" w:eastAsia="仿宋_GB2312"/>
          <w:bCs/>
          <w:sz w:val="32"/>
          <w:szCs w:val="32"/>
        </w:rPr>
        <w:t>改善了空气质量和曾雨的目的</w:t>
      </w:r>
      <w:r>
        <w:rPr>
          <w:rFonts w:hint="eastAsia" w:ascii="仿宋_GB2312" w:eastAsia="仿宋_GB2312"/>
          <w:sz w:val="32"/>
          <w:szCs w:val="32"/>
        </w:rPr>
        <w:t>。发现的问题及原因：一是</w:t>
      </w:r>
      <w:r>
        <w:rPr>
          <w:rFonts w:hint="eastAsia" w:ascii="仿宋_GB2312" w:hAnsi="宋体" w:eastAsia="仿宋_GB2312"/>
          <w:bCs/>
          <w:sz w:val="32"/>
          <w:szCs w:val="32"/>
        </w:rPr>
        <w:t>机构设置和队伍建设需要进一步推进</w:t>
      </w:r>
      <w:r>
        <w:rPr>
          <w:rFonts w:hint="eastAsia" w:ascii="仿宋_GB2312" w:eastAsia="仿宋_GB2312"/>
          <w:sz w:val="32"/>
          <w:szCs w:val="32"/>
        </w:rPr>
        <w:t>；二是</w:t>
      </w:r>
      <w:r>
        <w:rPr>
          <w:rFonts w:hint="eastAsia" w:ascii="仿宋_GB2312" w:hAnsi="宋体" w:eastAsia="仿宋_GB2312"/>
          <w:bCs/>
          <w:sz w:val="32"/>
          <w:szCs w:val="32"/>
        </w:rPr>
        <w:t>绩效监控质量有待提高</w:t>
      </w:r>
      <w:r>
        <w:rPr>
          <w:rFonts w:hint="eastAsia" w:ascii="仿宋_GB2312" w:eastAsia="仿宋_GB2312"/>
          <w:sz w:val="32"/>
          <w:szCs w:val="32"/>
        </w:rPr>
        <w:t>。下一步改进措施：一是</w:t>
      </w:r>
      <w:r>
        <w:rPr>
          <w:rFonts w:hint="eastAsia" w:ascii="仿宋_GB2312" w:hAnsi="宋体" w:eastAsia="仿宋_GB2312"/>
          <w:bCs/>
          <w:sz w:val="32"/>
          <w:szCs w:val="32"/>
        </w:rPr>
        <w:t>现有工作人员的业务水平还不能满足绩效管理工作要求，业务素质急需提高</w:t>
      </w:r>
      <w:r>
        <w:rPr>
          <w:rFonts w:hint="eastAsia" w:ascii="仿宋_GB2312" w:eastAsia="仿宋_GB2312"/>
          <w:sz w:val="32"/>
          <w:szCs w:val="32"/>
        </w:rPr>
        <w:t>；二是提高监控数据的准确性。具体项目自评情况附绩效自评表及自评报告。</w:t>
      </w:r>
    </w:p>
    <w:tbl>
      <w:tblPr>
        <w:tblStyle w:val="9"/>
        <w:tblW w:w="5000" w:type="pct"/>
        <w:tblInd w:w="0" w:type="dxa"/>
        <w:tblLayout w:type="autofit"/>
        <w:tblCellMar>
          <w:top w:w="0" w:type="dxa"/>
          <w:left w:w="108" w:type="dxa"/>
          <w:bottom w:w="0" w:type="dxa"/>
          <w:right w:w="108" w:type="dxa"/>
        </w:tblCellMar>
      </w:tblPr>
      <w:tblGrid>
        <w:gridCol w:w="1895"/>
        <w:gridCol w:w="1169"/>
        <w:gridCol w:w="1133"/>
        <w:gridCol w:w="919"/>
        <w:gridCol w:w="954"/>
        <w:gridCol w:w="726"/>
        <w:gridCol w:w="857"/>
        <w:gridCol w:w="869"/>
      </w:tblGrid>
      <w:tr w14:paraId="6A8D0995">
        <w:tblPrEx>
          <w:tblCellMar>
            <w:top w:w="0" w:type="dxa"/>
            <w:left w:w="108" w:type="dxa"/>
            <w:bottom w:w="0" w:type="dxa"/>
            <w:right w:w="108" w:type="dxa"/>
          </w:tblCellMar>
        </w:tblPrEx>
        <w:trPr>
          <w:trHeight w:val="522" w:hRule="atLeast"/>
        </w:trPr>
        <w:tc>
          <w:tcPr>
            <w:tcW w:w="5000" w:type="pct"/>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1D6FF16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部门（单位）整体支出绩效目标自评表</w:t>
            </w:r>
          </w:p>
        </w:tc>
      </w:tr>
      <w:tr w14:paraId="303ED7CD">
        <w:tblPrEx>
          <w:tblCellMar>
            <w:top w:w="0" w:type="dxa"/>
            <w:left w:w="108" w:type="dxa"/>
            <w:bottom w:w="0" w:type="dxa"/>
            <w:right w:w="108" w:type="dxa"/>
          </w:tblCellMar>
        </w:tblPrEx>
        <w:trPr>
          <w:trHeight w:val="360" w:hRule="atLeast"/>
        </w:trPr>
        <w:tc>
          <w:tcPr>
            <w:tcW w:w="5000" w:type="pct"/>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3FB57B0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（2023年度）</w:t>
            </w:r>
          </w:p>
        </w:tc>
      </w:tr>
      <w:tr w14:paraId="0B93CF06">
        <w:tblPrEx>
          <w:tblCellMar>
            <w:top w:w="0" w:type="dxa"/>
            <w:left w:w="108" w:type="dxa"/>
            <w:bottom w:w="0" w:type="dxa"/>
            <w:right w:w="108" w:type="dxa"/>
          </w:tblCellMar>
        </w:tblPrEx>
        <w:trPr>
          <w:trHeight w:val="660" w:hRule="atLeast"/>
        </w:trPr>
        <w:tc>
          <w:tcPr>
            <w:tcW w:w="1112"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5E995C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部门（单位）名称</w:t>
            </w:r>
          </w:p>
        </w:tc>
        <w:tc>
          <w:tcPr>
            <w:tcW w:w="3888" w:type="pct"/>
            <w:gridSpan w:val="7"/>
            <w:tcBorders>
              <w:top w:val="single" w:color="auto" w:sz="4" w:space="0"/>
              <w:left w:val="nil"/>
              <w:bottom w:val="single" w:color="auto" w:sz="4" w:space="0"/>
              <w:right w:val="single" w:color="auto" w:sz="4" w:space="0"/>
            </w:tcBorders>
            <w:shd w:val="clear" w:color="auto" w:fill="auto"/>
            <w:noWrap/>
            <w:vAlign w:val="center"/>
          </w:tcPr>
          <w:p w14:paraId="1D24105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木垒哈萨克自治县人工影响天气办公室（气象灾害预防中心）</w:t>
            </w:r>
          </w:p>
        </w:tc>
      </w:tr>
      <w:tr w14:paraId="47C569A9">
        <w:tblPrEx>
          <w:tblCellMar>
            <w:top w:w="0" w:type="dxa"/>
            <w:left w:w="108" w:type="dxa"/>
            <w:bottom w:w="0" w:type="dxa"/>
            <w:right w:w="108" w:type="dxa"/>
          </w:tblCellMar>
        </w:tblPrEx>
        <w:trPr>
          <w:trHeight w:val="570" w:hRule="atLeast"/>
        </w:trPr>
        <w:tc>
          <w:tcPr>
            <w:tcW w:w="111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079BE7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部门资金（万元）</w:t>
            </w:r>
          </w:p>
        </w:tc>
        <w:tc>
          <w:tcPr>
            <w:tcW w:w="686" w:type="pct"/>
            <w:tcBorders>
              <w:top w:val="nil"/>
              <w:left w:val="nil"/>
              <w:bottom w:val="single" w:color="auto" w:sz="4" w:space="0"/>
              <w:right w:val="single" w:color="auto" w:sz="4" w:space="0"/>
            </w:tcBorders>
            <w:shd w:val="clear" w:color="auto" w:fill="auto"/>
            <w:vAlign w:val="center"/>
          </w:tcPr>
          <w:p w14:paraId="198DD32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资金来源</w:t>
            </w:r>
          </w:p>
        </w:tc>
        <w:tc>
          <w:tcPr>
            <w:tcW w:w="665" w:type="pct"/>
            <w:tcBorders>
              <w:top w:val="nil"/>
              <w:left w:val="nil"/>
              <w:bottom w:val="single" w:color="auto" w:sz="4" w:space="0"/>
              <w:right w:val="single" w:color="auto" w:sz="4" w:space="0"/>
            </w:tcBorders>
            <w:shd w:val="clear" w:color="auto" w:fill="auto"/>
            <w:vAlign w:val="center"/>
          </w:tcPr>
          <w:p w14:paraId="70EA177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年初预算数</w:t>
            </w:r>
          </w:p>
        </w:tc>
        <w:tc>
          <w:tcPr>
            <w:tcW w:w="539" w:type="pct"/>
            <w:tcBorders>
              <w:top w:val="nil"/>
              <w:left w:val="nil"/>
              <w:bottom w:val="single" w:color="auto" w:sz="4" w:space="0"/>
              <w:right w:val="single" w:color="auto" w:sz="4" w:space="0"/>
            </w:tcBorders>
            <w:shd w:val="clear" w:color="auto" w:fill="auto"/>
            <w:vAlign w:val="center"/>
          </w:tcPr>
          <w:p w14:paraId="5F92448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全年预算数</w:t>
            </w:r>
          </w:p>
        </w:tc>
        <w:tc>
          <w:tcPr>
            <w:tcW w:w="560" w:type="pct"/>
            <w:tcBorders>
              <w:top w:val="nil"/>
              <w:left w:val="nil"/>
              <w:bottom w:val="single" w:color="auto" w:sz="4" w:space="0"/>
              <w:right w:val="single" w:color="auto" w:sz="4" w:space="0"/>
            </w:tcBorders>
            <w:shd w:val="clear" w:color="auto" w:fill="auto"/>
            <w:vAlign w:val="center"/>
          </w:tcPr>
          <w:p w14:paraId="095CFB3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全年执行数</w:t>
            </w:r>
          </w:p>
        </w:tc>
        <w:tc>
          <w:tcPr>
            <w:tcW w:w="426" w:type="pct"/>
            <w:tcBorders>
              <w:top w:val="nil"/>
              <w:left w:val="nil"/>
              <w:bottom w:val="single" w:color="auto" w:sz="4" w:space="0"/>
              <w:right w:val="single" w:color="auto" w:sz="4" w:space="0"/>
            </w:tcBorders>
            <w:shd w:val="clear" w:color="auto" w:fill="auto"/>
            <w:vAlign w:val="center"/>
          </w:tcPr>
          <w:p w14:paraId="4F1D471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503" w:type="pct"/>
            <w:tcBorders>
              <w:top w:val="nil"/>
              <w:left w:val="nil"/>
              <w:bottom w:val="single" w:color="auto" w:sz="4" w:space="0"/>
              <w:right w:val="single" w:color="auto" w:sz="4" w:space="0"/>
            </w:tcBorders>
            <w:shd w:val="clear" w:color="auto" w:fill="auto"/>
            <w:vAlign w:val="center"/>
          </w:tcPr>
          <w:p w14:paraId="313D115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执行率</w:t>
            </w:r>
          </w:p>
        </w:tc>
        <w:tc>
          <w:tcPr>
            <w:tcW w:w="509" w:type="pct"/>
            <w:tcBorders>
              <w:top w:val="nil"/>
              <w:left w:val="nil"/>
              <w:bottom w:val="single" w:color="auto" w:sz="4" w:space="0"/>
              <w:right w:val="single" w:color="auto" w:sz="4" w:space="0"/>
            </w:tcBorders>
            <w:shd w:val="clear" w:color="auto" w:fill="auto"/>
            <w:vAlign w:val="center"/>
          </w:tcPr>
          <w:p w14:paraId="0ECF74E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14:paraId="4F5C396B">
        <w:tblPrEx>
          <w:tblCellMar>
            <w:top w:w="0" w:type="dxa"/>
            <w:left w:w="108" w:type="dxa"/>
            <w:bottom w:w="0" w:type="dxa"/>
            <w:right w:w="108" w:type="dxa"/>
          </w:tblCellMar>
        </w:tblPrEx>
        <w:trPr>
          <w:trHeight w:val="559" w:hRule="atLeast"/>
        </w:trPr>
        <w:tc>
          <w:tcPr>
            <w:tcW w:w="1112" w:type="pct"/>
            <w:vMerge w:val="continue"/>
            <w:tcBorders>
              <w:top w:val="single" w:color="auto" w:sz="4" w:space="0"/>
              <w:left w:val="single" w:color="auto" w:sz="4" w:space="0"/>
              <w:bottom w:val="single" w:color="auto" w:sz="4" w:space="0"/>
              <w:right w:val="single" w:color="auto" w:sz="4" w:space="0"/>
            </w:tcBorders>
            <w:vAlign w:val="center"/>
          </w:tcPr>
          <w:p w14:paraId="7B734FC2">
            <w:pPr>
              <w:widowControl/>
              <w:jc w:val="left"/>
              <w:rPr>
                <w:rFonts w:hint="eastAsia" w:cs="宋体" w:asciiTheme="minorEastAsia" w:hAnsiTheme="minorEastAsia" w:eastAsiaTheme="minorEastAsia"/>
                <w:kern w:val="0"/>
                <w:sz w:val="20"/>
                <w:szCs w:val="20"/>
              </w:rPr>
            </w:pPr>
          </w:p>
        </w:tc>
        <w:tc>
          <w:tcPr>
            <w:tcW w:w="686" w:type="pct"/>
            <w:tcBorders>
              <w:top w:val="nil"/>
              <w:left w:val="nil"/>
              <w:bottom w:val="single" w:color="auto" w:sz="4" w:space="0"/>
              <w:right w:val="single" w:color="auto" w:sz="4" w:space="0"/>
            </w:tcBorders>
            <w:shd w:val="clear" w:color="auto" w:fill="auto"/>
            <w:noWrap/>
            <w:vAlign w:val="center"/>
          </w:tcPr>
          <w:p w14:paraId="11C7BDB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中央安排</w:t>
            </w:r>
          </w:p>
        </w:tc>
        <w:tc>
          <w:tcPr>
            <w:tcW w:w="665" w:type="pct"/>
            <w:tcBorders>
              <w:top w:val="nil"/>
              <w:left w:val="nil"/>
              <w:bottom w:val="single" w:color="auto" w:sz="4" w:space="0"/>
              <w:right w:val="single" w:color="auto" w:sz="4" w:space="0"/>
            </w:tcBorders>
            <w:shd w:val="clear" w:color="auto" w:fill="auto"/>
            <w:vAlign w:val="center"/>
          </w:tcPr>
          <w:p w14:paraId="36C6C3A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539" w:type="pct"/>
            <w:tcBorders>
              <w:top w:val="nil"/>
              <w:left w:val="nil"/>
              <w:bottom w:val="single" w:color="auto" w:sz="4" w:space="0"/>
              <w:right w:val="single" w:color="auto" w:sz="4" w:space="0"/>
            </w:tcBorders>
            <w:shd w:val="clear" w:color="auto" w:fill="auto"/>
            <w:vAlign w:val="center"/>
          </w:tcPr>
          <w:p w14:paraId="024D3FF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560" w:type="pct"/>
            <w:tcBorders>
              <w:top w:val="nil"/>
              <w:left w:val="nil"/>
              <w:bottom w:val="single" w:color="auto" w:sz="4" w:space="0"/>
              <w:right w:val="single" w:color="auto" w:sz="4" w:space="0"/>
            </w:tcBorders>
            <w:shd w:val="clear" w:color="auto" w:fill="auto"/>
            <w:vAlign w:val="center"/>
          </w:tcPr>
          <w:p w14:paraId="689B3C6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426" w:type="pct"/>
            <w:tcBorders>
              <w:top w:val="nil"/>
              <w:left w:val="nil"/>
              <w:bottom w:val="single" w:color="auto" w:sz="4" w:space="0"/>
              <w:right w:val="single" w:color="auto" w:sz="4" w:space="0"/>
            </w:tcBorders>
            <w:shd w:val="clear" w:color="auto" w:fill="auto"/>
            <w:vAlign w:val="center"/>
          </w:tcPr>
          <w:p w14:paraId="2668D6D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503" w:type="pct"/>
            <w:tcBorders>
              <w:top w:val="nil"/>
              <w:left w:val="nil"/>
              <w:bottom w:val="single" w:color="auto" w:sz="4" w:space="0"/>
              <w:right w:val="single" w:color="auto" w:sz="4" w:space="0"/>
            </w:tcBorders>
            <w:shd w:val="clear" w:color="auto" w:fill="auto"/>
            <w:vAlign w:val="center"/>
          </w:tcPr>
          <w:p w14:paraId="1F06F96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509" w:type="pct"/>
            <w:tcBorders>
              <w:top w:val="nil"/>
              <w:left w:val="nil"/>
              <w:bottom w:val="single" w:color="auto" w:sz="4" w:space="0"/>
              <w:right w:val="single" w:color="auto" w:sz="4" w:space="0"/>
            </w:tcBorders>
            <w:shd w:val="clear" w:color="auto" w:fill="auto"/>
            <w:vAlign w:val="center"/>
          </w:tcPr>
          <w:p w14:paraId="6999E11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3015EFFB">
        <w:tblPrEx>
          <w:tblCellMar>
            <w:top w:w="0" w:type="dxa"/>
            <w:left w:w="108" w:type="dxa"/>
            <w:bottom w:w="0" w:type="dxa"/>
            <w:right w:w="108" w:type="dxa"/>
          </w:tblCellMar>
        </w:tblPrEx>
        <w:trPr>
          <w:trHeight w:val="411" w:hRule="atLeast"/>
        </w:trPr>
        <w:tc>
          <w:tcPr>
            <w:tcW w:w="1112" w:type="pct"/>
            <w:vMerge w:val="continue"/>
            <w:tcBorders>
              <w:top w:val="single" w:color="auto" w:sz="4" w:space="0"/>
              <w:left w:val="single" w:color="auto" w:sz="4" w:space="0"/>
              <w:bottom w:val="single" w:color="auto" w:sz="4" w:space="0"/>
              <w:right w:val="single" w:color="auto" w:sz="4" w:space="0"/>
            </w:tcBorders>
            <w:vAlign w:val="center"/>
          </w:tcPr>
          <w:p w14:paraId="20139B75">
            <w:pPr>
              <w:widowControl/>
              <w:jc w:val="left"/>
              <w:rPr>
                <w:rFonts w:hint="eastAsia" w:cs="宋体" w:asciiTheme="minorEastAsia" w:hAnsiTheme="minorEastAsia" w:eastAsiaTheme="minorEastAsia"/>
                <w:kern w:val="0"/>
                <w:sz w:val="20"/>
                <w:szCs w:val="20"/>
              </w:rPr>
            </w:pPr>
          </w:p>
        </w:tc>
        <w:tc>
          <w:tcPr>
            <w:tcW w:w="686" w:type="pct"/>
            <w:tcBorders>
              <w:top w:val="nil"/>
              <w:left w:val="nil"/>
              <w:bottom w:val="single" w:color="auto" w:sz="4" w:space="0"/>
              <w:right w:val="single" w:color="auto" w:sz="4" w:space="0"/>
            </w:tcBorders>
            <w:shd w:val="clear" w:color="auto" w:fill="auto"/>
            <w:vAlign w:val="center"/>
          </w:tcPr>
          <w:p w14:paraId="2B3FAC5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自治区安排</w:t>
            </w:r>
          </w:p>
        </w:tc>
        <w:tc>
          <w:tcPr>
            <w:tcW w:w="665" w:type="pct"/>
            <w:tcBorders>
              <w:top w:val="nil"/>
              <w:left w:val="nil"/>
              <w:bottom w:val="single" w:color="auto" w:sz="4" w:space="0"/>
              <w:right w:val="single" w:color="auto" w:sz="4" w:space="0"/>
            </w:tcBorders>
            <w:shd w:val="clear" w:color="auto" w:fill="auto"/>
            <w:vAlign w:val="center"/>
          </w:tcPr>
          <w:p w14:paraId="44C2B74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539" w:type="pct"/>
            <w:tcBorders>
              <w:top w:val="nil"/>
              <w:left w:val="nil"/>
              <w:bottom w:val="single" w:color="auto" w:sz="4" w:space="0"/>
              <w:right w:val="single" w:color="auto" w:sz="4" w:space="0"/>
            </w:tcBorders>
            <w:shd w:val="clear" w:color="auto" w:fill="auto"/>
            <w:vAlign w:val="center"/>
          </w:tcPr>
          <w:p w14:paraId="7CFF0C4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560" w:type="pct"/>
            <w:tcBorders>
              <w:top w:val="nil"/>
              <w:left w:val="nil"/>
              <w:bottom w:val="single" w:color="auto" w:sz="4" w:space="0"/>
              <w:right w:val="single" w:color="auto" w:sz="4" w:space="0"/>
            </w:tcBorders>
            <w:shd w:val="clear" w:color="auto" w:fill="auto"/>
            <w:vAlign w:val="center"/>
          </w:tcPr>
          <w:p w14:paraId="5F8774B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426" w:type="pct"/>
            <w:tcBorders>
              <w:top w:val="nil"/>
              <w:left w:val="nil"/>
              <w:bottom w:val="single" w:color="auto" w:sz="4" w:space="0"/>
              <w:right w:val="single" w:color="auto" w:sz="4" w:space="0"/>
            </w:tcBorders>
            <w:shd w:val="clear" w:color="auto" w:fill="auto"/>
            <w:vAlign w:val="center"/>
          </w:tcPr>
          <w:p w14:paraId="6A9621E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503" w:type="pct"/>
            <w:tcBorders>
              <w:top w:val="nil"/>
              <w:left w:val="nil"/>
              <w:bottom w:val="single" w:color="auto" w:sz="4" w:space="0"/>
              <w:right w:val="single" w:color="auto" w:sz="4" w:space="0"/>
            </w:tcBorders>
            <w:shd w:val="clear" w:color="auto" w:fill="auto"/>
            <w:vAlign w:val="center"/>
          </w:tcPr>
          <w:p w14:paraId="1C9F209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509" w:type="pct"/>
            <w:tcBorders>
              <w:top w:val="nil"/>
              <w:left w:val="nil"/>
              <w:bottom w:val="single" w:color="auto" w:sz="4" w:space="0"/>
              <w:right w:val="single" w:color="auto" w:sz="4" w:space="0"/>
            </w:tcBorders>
            <w:shd w:val="clear" w:color="auto" w:fill="auto"/>
            <w:vAlign w:val="center"/>
          </w:tcPr>
          <w:p w14:paraId="1FB2F96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291630D6">
        <w:tblPrEx>
          <w:tblCellMar>
            <w:top w:w="0" w:type="dxa"/>
            <w:left w:w="108" w:type="dxa"/>
            <w:bottom w:w="0" w:type="dxa"/>
            <w:right w:w="108" w:type="dxa"/>
          </w:tblCellMar>
        </w:tblPrEx>
        <w:trPr>
          <w:trHeight w:val="700" w:hRule="atLeast"/>
        </w:trPr>
        <w:tc>
          <w:tcPr>
            <w:tcW w:w="1112" w:type="pct"/>
            <w:vMerge w:val="continue"/>
            <w:tcBorders>
              <w:top w:val="single" w:color="auto" w:sz="4" w:space="0"/>
              <w:left w:val="single" w:color="auto" w:sz="4" w:space="0"/>
              <w:bottom w:val="single" w:color="auto" w:sz="4" w:space="0"/>
              <w:right w:val="single" w:color="auto" w:sz="4" w:space="0"/>
            </w:tcBorders>
            <w:vAlign w:val="center"/>
          </w:tcPr>
          <w:p w14:paraId="54A43FAE">
            <w:pPr>
              <w:widowControl/>
              <w:jc w:val="left"/>
              <w:rPr>
                <w:rFonts w:hint="eastAsia" w:cs="宋体" w:asciiTheme="minorEastAsia" w:hAnsiTheme="minorEastAsia" w:eastAsiaTheme="minorEastAsia"/>
                <w:kern w:val="0"/>
                <w:sz w:val="20"/>
                <w:szCs w:val="20"/>
              </w:rPr>
            </w:pPr>
          </w:p>
        </w:tc>
        <w:tc>
          <w:tcPr>
            <w:tcW w:w="686" w:type="pct"/>
            <w:tcBorders>
              <w:top w:val="nil"/>
              <w:left w:val="nil"/>
              <w:bottom w:val="single" w:color="auto" w:sz="4" w:space="0"/>
              <w:right w:val="single" w:color="auto" w:sz="4" w:space="0"/>
            </w:tcBorders>
            <w:shd w:val="clear" w:color="auto" w:fill="auto"/>
            <w:vAlign w:val="center"/>
          </w:tcPr>
          <w:p w14:paraId="3C2BEBB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地（州、市）安排</w:t>
            </w:r>
          </w:p>
        </w:tc>
        <w:tc>
          <w:tcPr>
            <w:tcW w:w="665" w:type="pct"/>
            <w:tcBorders>
              <w:top w:val="nil"/>
              <w:left w:val="nil"/>
              <w:bottom w:val="single" w:color="auto" w:sz="4" w:space="0"/>
              <w:right w:val="single" w:color="auto" w:sz="4" w:space="0"/>
            </w:tcBorders>
            <w:shd w:val="clear" w:color="auto" w:fill="auto"/>
            <w:vAlign w:val="center"/>
          </w:tcPr>
          <w:p w14:paraId="7BFE04A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539" w:type="pct"/>
            <w:tcBorders>
              <w:top w:val="nil"/>
              <w:left w:val="nil"/>
              <w:bottom w:val="single" w:color="auto" w:sz="4" w:space="0"/>
              <w:right w:val="single" w:color="auto" w:sz="4" w:space="0"/>
            </w:tcBorders>
            <w:shd w:val="clear" w:color="auto" w:fill="auto"/>
            <w:vAlign w:val="center"/>
          </w:tcPr>
          <w:p w14:paraId="5B0621B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560" w:type="pct"/>
            <w:tcBorders>
              <w:top w:val="nil"/>
              <w:left w:val="nil"/>
              <w:bottom w:val="single" w:color="auto" w:sz="4" w:space="0"/>
              <w:right w:val="single" w:color="auto" w:sz="4" w:space="0"/>
            </w:tcBorders>
            <w:shd w:val="clear" w:color="auto" w:fill="auto"/>
            <w:vAlign w:val="center"/>
          </w:tcPr>
          <w:p w14:paraId="15490ED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426" w:type="pct"/>
            <w:tcBorders>
              <w:top w:val="nil"/>
              <w:left w:val="nil"/>
              <w:bottom w:val="single" w:color="auto" w:sz="4" w:space="0"/>
              <w:right w:val="single" w:color="auto" w:sz="4" w:space="0"/>
            </w:tcBorders>
            <w:shd w:val="clear" w:color="auto" w:fill="auto"/>
            <w:vAlign w:val="center"/>
          </w:tcPr>
          <w:p w14:paraId="2ECA933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503" w:type="pct"/>
            <w:tcBorders>
              <w:top w:val="nil"/>
              <w:left w:val="nil"/>
              <w:bottom w:val="single" w:color="auto" w:sz="4" w:space="0"/>
              <w:right w:val="single" w:color="auto" w:sz="4" w:space="0"/>
            </w:tcBorders>
            <w:shd w:val="clear" w:color="auto" w:fill="auto"/>
            <w:vAlign w:val="center"/>
          </w:tcPr>
          <w:p w14:paraId="2C7E614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509" w:type="pct"/>
            <w:tcBorders>
              <w:top w:val="nil"/>
              <w:left w:val="nil"/>
              <w:bottom w:val="single" w:color="auto" w:sz="4" w:space="0"/>
              <w:right w:val="single" w:color="auto" w:sz="4" w:space="0"/>
            </w:tcBorders>
            <w:shd w:val="clear" w:color="auto" w:fill="auto"/>
            <w:vAlign w:val="center"/>
          </w:tcPr>
          <w:p w14:paraId="076782E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5641F6B3">
        <w:tblPrEx>
          <w:tblCellMar>
            <w:top w:w="0" w:type="dxa"/>
            <w:left w:w="108" w:type="dxa"/>
            <w:bottom w:w="0" w:type="dxa"/>
            <w:right w:w="108" w:type="dxa"/>
          </w:tblCellMar>
        </w:tblPrEx>
        <w:trPr>
          <w:trHeight w:val="555" w:hRule="atLeast"/>
        </w:trPr>
        <w:tc>
          <w:tcPr>
            <w:tcW w:w="1112" w:type="pct"/>
            <w:vMerge w:val="continue"/>
            <w:tcBorders>
              <w:top w:val="single" w:color="auto" w:sz="4" w:space="0"/>
              <w:left w:val="single" w:color="auto" w:sz="4" w:space="0"/>
              <w:bottom w:val="single" w:color="auto" w:sz="4" w:space="0"/>
              <w:right w:val="single" w:color="auto" w:sz="4" w:space="0"/>
            </w:tcBorders>
            <w:vAlign w:val="center"/>
          </w:tcPr>
          <w:p w14:paraId="535C55D0">
            <w:pPr>
              <w:widowControl/>
              <w:jc w:val="left"/>
              <w:rPr>
                <w:rFonts w:hint="eastAsia" w:cs="宋体" w:asciiTheme="minorEastAsia" w:hAnsiTheme="minorEastAsia" w:eastAsiaTheme="minorEastAsia"/>
                <w:kern w:val="0"/>
                <w:sz w:val="20"/>
                <w:szCs w:val="20"/>
              </w:rPr>
            </w:pPr>
          </w:p>
        </w:tc>
        <w:tc>
          <w:tcPr>
            <w:tcW w:w="686" w:type="pct"/>
            <w:tcBorders>
              <w:top w:val="nil"/>
              <w:left w:val="nil"/>
              <w:bottom w:val="single" w:color="auto" w:sz="4" w:space="0"/>
              <w:right w:val="single" w:color="auto" w:sz="4" w:space="0"/>
            </w:tcBorders>
            <w:shd w:val="clear" w:color="auto" w:fill="auto"/>
            <w:vAlign w:val="center"/>
          </w:tcPr>
          <w:p w14:paraId="1854DEC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县（市、区）安排</w:t>
            </w:r>
          </w:p>
        </w:tc>
        <w:tc>
          <w:tcPr>
            <w:tcW w:w="665" w:type="pct"/>
            <w:tcBorders>
              <w:top w:val="nil"/>
              <w:left w:val="nil"/>
              <w:bottom w:val="single" w:color="auto" w:sz="4" w:space="0"/>
              <w:right w:val="single" w:color="auto" w:sz="4" w:space="0"/>
            </w:tcBorders>
            <w:shd w:val="clear" w:color="auto" w:fill="auto"/>
            <w:vAlign w:val="center"/>
          </w:tcPr>
          <w:p w14:paraId="0AF29C4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198.75</w:t>
            </w:r>
          </w:p>
        </w:tc>
        <w:tc>
          <w:tcPr>
            <w:tcW w:w="539" w:type="pct"/>
            <w:tcBorders>
              <w:top w:val="nil"/>
              <w:left w:val="nil"/>
              <w:bottom w:val="single" w:color="auto" w:sz="4" w:space="0"/>
              <w:right w:val="single" w:color="auto" w:sz="4" w:space="0"/>
            </w:tcBorders>
            <w:shd w:val="clear" w:color="auto" w:fill="auto"/>
            <w:vAlign w:val="center"/>
          </w:tcPr>
          <w:p w14:paraId="18624DE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167.88</w:t>
            </w:r>
          </w:p>
        </w:tc>
        <w:tc>
          <w:tcPr>
            <w:tcW w:w="560" w:type="pct"/>
            <w:tcBorders>
              <w:top w:val="nil"/>
              <w:left w:val="nil"/>
              <w:bottom w:val="single" w:color="auto" w:sz="4" w:space="0"/>
              <w:right w:val="single" w:color="auto" w:sz="4" w:space="0"/>
            </w:tcBorders>
            <w:shd w:val="clear" w:color="auto" w:fill="auto"/>
            <w:vAlign w:val="center"/>
          </w:tcPr>
          <w:p w14:paraId="0E533EE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167.88</w:t>
            </w:r>
          </w:p>
        </w:tc>
        <w:tc>
          <w:tcPr>
            <w:tcW w:w="426" w:type="pct"/>
            <w:tcBorders>
              <w:top w:val="nil"/>
              <w:left w:val="nil"/>
              <w:bottom w:val="single" w:color="auto" w:sz="4" w:space="0"/>
              <w:right w:val="single" w:color="auto" w:sz="4" w:space="0"/>
            </w:tcBorders>
            <w:shd w:val="clear" w:color="auto" w:fill="auto"/>
            <w:vAlign w:val="center"/>
          </w:tcPr>
          <w:p w14:paraId="2AA20A2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503" w:type="pct"/>
            <w:tcBorders>
              <w:top w:val="nil"/>
              <w:left w:val="nil"/>
              <w:bottom w:val="single" w:color="auto" w:sz="4" w:space="0"/>
              <w:right w:val="single" w:color="auto" w:sz="4" w:space="0"/>
            </w:tcBorders>
            <w:shd w:val="clear" w:color="auto" w:fill="auto"/>
            <w:vAlign w:val="center"/>
          </w:tcPr>
          <w:p w14:paraId="256C3DE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509" w:type="pct"/>
            <w:tcBorders>
              <w:top w:val="nil"/>
              <w:left w:val="nil"/>
              <w:bottom w:val="single" w:color="auto" w:sz="4" w:space="0"/>
              <w:right w:val="single" w:color="auto" w:sz="4" w:space="0"/>
            </w:tcBorders>
            <w:shd w:val="clear" w:color="auto" w:fill="auto"/>
            <w:vAlign w:val="center"/>
          </w:tcPr>
          <w:p w14:paraId="448FA88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5F30890C">
        <w:tblPrEx>
          <w:tblCellMar>
            <w:top w:w="0" w:type="dxa"/>
            <w:left w:w="108" w:type="dxa"/>
            <w:bottom w:w="0" w:type="dxa"/>
            <w:right w:w="108" w:type="dxa"/>
          </w:tblCellMar>
        </w:tblPrEx>
        <w:trPr>
          <w:trHeight w:val="492" w:hRule="atLeast"/>
        </w:trPr>
        <w:tc>
          <w:tcPr>
            <w:tcW w:w="1112" w:type="pct"/>
            <w:vMerge w:val="continue"/>
            <w:tcBorders>
              <w:top w:val="single" w:color="auto" w:sz="4" w:space="0"/>
              <w:left w:val="single" w:color="auto" w:sz="4" w:space="0"/>
              <w:bottom w:val="single" w:color="auto" w:sz="4" w:space="0"/>
              <w:right w:val="single" w:color="auto" w:sz="4" w:space="0"/>
            </w:tcBorders>
            <w:vAlign w:val="center"/>
          </w:tcPr>
          <w:p w14:paraId="3BA203D3">
            <w:pPr>
              <w:widowControl/>
              <w:jc w:val="left"/>
              <w:rPr>
                <w:rFonts w:hint="eastAsia" w:cs="宋体" w:asciiTheme="minorEastAsia" w:hAnsiTheme="minorEastAsia" w:eastAsiaTheme="minorEastAsia"/>
                <w:kern w:val="0"/>
                <w:sz w:val="20"/>
                <w:szCs w:val="20"/>
              </w:rPr>
            </w:pPr>
          </w:p>
        </w:tc>
        <w:tc>
          <w:tcPr>
            <w:tcW w:w="686" w:type="pct"/>
            <w:tcBorders>
              <w:top w:val="nil"/>
              <w:left w:val="nil"/>
              <w:bottom w:val="single" w:color="auto" w:sz="4" w:space="0"/>
              <w:right w:val="single" w:color="auto" w:sz="4" w:space="0"/>
            </w:tcBorders>
            <w:shd w:val="clear" w:color="auto" w:fill="auto"/>
            <w:vAlign w:val="center"/>
          </w:tcPr>
          <w:p w14:paraId="5179847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其他资金</w:t>
            </w:r>
          </w:p>
        </w:tc>
        <w:tc>
          <w:tcPr>
            <w:tcW w:w="665" w:type="pct"/>
            <w:tcBorders>
              <w:top w:val="nil"/>
              <w:left w:val="nil"/>
              <w:bottom w:val="single" w:color="auto" w:sz="4" w:space="0"/>
              <w:right w:val="single" w:color="auto" w:sz="4" w:space="0"/>
            </w:tcBorders>
            <w:shd w:val="clear" w:color="auto" w:fill="auto"/>
            <w:vAlign w:val="center"/>
          </w:tcPr>
          <w:p w14:paraId="3DDC197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539" w:type="pct"/>
            <w:tcBorders>
              <w:top w:val="nil"/>
              <w:left w:val="nil"/>
              <w:bottom w:val="single" w:color="auto" w:sz="4" w:space="0"/>
              <w:right w:val="single" w:color="auto" w:sz="4" w:space="0"/>
            </w:tcBorders>
            <w:shd w:val="clear" w:color="auto" w:fill="auto"/>
            <w:vAlign w:val="center"/>
          </w:tcPr>
          <w:p w14:paraId="3FC96EE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560" w:type="pct"/>
            <w:tcBorders>
              <w:top w:val="nil"/>
              <w:left w:val="nil"/>
              <w:bottom w:val="single" w:color="auto" w:sz="4" w:space="0"/>
              <w:right w:val="single" w:color="auto" w:sz="4" w:space="0"/>
            </w:tcBorders>
            <w:shd w:val="clear" w:color="auto" w:fill="auto"/>
            <w:vAlign w:val="center"/>
          </w:tcPr>
          <w:p w14:paraId="2DAF6B4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426" w:type="pct"/>
            <w:tcBorders>
              <w:top w:val="nil"/>
              <w:left w:val="nil"/>
              <w:bottom w:val="single" w:color="auto" w:sz="4" w:space="0"/>
              <w:right w:val="single" w:color="auto" w:sz="4" w:space="0"/>
            </w:tcBorders>
            <w:shd w:val="clear" w:color="auto" w:fill="auto"/>
            <w:vAlign w:val="center"/>
          </w:tcPr>
          <w:p w14:paraId="3DB27B5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503" w:type="pct"/>
            <w:tcBorders>
              <w:top w:val="nil"/>
              <w:left w:val="nil"/>
              <w:bottom w:val="single" w:color="auto" w:sz="4" w:space="0"/>
              <w:right w:val="single" w:color="auto" w:sz="4" w:space="0"/>
            </w:tcBorders>
            <w:shd w:val="clear" w:color="auto" w:fill="auto"/>
            <w:vAlign w:val="center"/>
          </w:tcPr>
          <w:p w14:paraId="0331E96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509" w:type="pct"/>
            <w:tcBorders>
              <w:top w:val="nil"/>
              <w:left w:val="nil"/>
              <w:bottom w:val="single" w:color="auto" w:sz="4" w:space="0"/>
              <w:right w:val="single" w:color="auto" w:sz="4" w:space="0"/>
            </w:tcBorders>
            <w:shd w:val="clear" w:color="auto" w:fill="auto"/>
            <w:vAlign w:val="center"/>
          </w:tcPr>
          <w:p w14:paraId="2CD414D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239F2BE0">
        <w:tblPrEx>
          <w:tblCellMar>
            <w:top w:w="0" w:type="dxa"/>
            <w:left w:w="108" w:type="dxa"/>
            <w:bottom w:w="0" w:type="dxa"/>
            <w:right w:w="108" w:type="dxa"/>
          </w:tblCellMar>
        </w:tblPrEx>
        <w:trPr>
          <w:trHeight w:val="557" w:hRule="atLeast"/>
        </w:trPr>
        <w:tc>
          <w:tcPr>
            <w:tcW w:w="1112" w:type="pct"/>
            <w:vMerge w:val="continue"/>
            <w:tcBorders>
              <w:top w:val="single" w:color="auto" w:sz="4" w:space="0"/>
              <w:left w:val="single" w:color="auto" w:sz="4" w:space="0"/>
              <w:bottom w:val="single" w:color="auto" w:sz="4" w:space="0"/>
              <w:right w:val="single" w:color="auto" w:sz="4" w:space="0"/>
            </w:tcBorders>
            <w:vAlign w:val="center"/>
          </w:tcPr>
          <w:p w14:paraId="64067563">
            <w:pPr>
              <w:widowControl/>
              <w:jc w:val="left"/>
              <w:rPr>
                <w:rFonts w:hint="eastAsia" w:cs="宋体" w:asciiTheme="minorEastAsia" w:hAnsiTheme="minorEastAsia" w:eastAsiaTheme="minorEastAsia"/>
                <w:kern w:val="0"/>
                <w:sz w:val="20"/>
                <w:szCs w:val="20"/>
              </w:rPr>
            </w:pPr>
          </w:p>
        </w:tc>
        <w:tc>
          <w:tcPr>
            <w:tcW w:w="686" w:type="pct"/>
            <w:tcBorders>
              <w:top w:val="nil"/>
              <w:left w:val="nil"/>
              <w:bottom w:val="single" w:color="auto" w:sz="4" w:space="0"/>
              <w:right w:val="single" w:color="auto" w:sz="4" w:space="0"/>
            </w:tcBorders>
            <w:shd w:val="clear" w:color="auto" w:fill="auto"/>
            <w:vAlign w:val="center"/>
          </w:tcPr>
          <w:p w14:paraId="66D2439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合计</w:t>
            </w:r>
          </w:p>
        </w:tc>
        <w:tc>
          <w:tcPr>
            <w:tcW w:w="665" w:type="pct"/>
            <w:tcBorders>
              <w:top w:val="nil"/>
              <w:left w:val="nil"/>
              <w:bottom w:val="single" w:color="auto" w:sz="4" w:space="0"/>
              <w:right w:val="single" w:color="auto" w:sz="4" w:space="0"/>
            </w:tcBorders>
            <w:shd w:val="clear" w:color="auto" w:fill="auto"/>
            <w:vAlign w:val="center"/>
          </w:tcPr>
          <w:p w14:paraId="2B78A00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198.75</w:t>
            </w:r>
          </w:p>
        </w:tc>
        <w:tc>
          <w:tcPr>
            <w:tcW w:w="539" w:type="pct"/>
            <w:tcBorders>
              <w:top w:val="nil"/>
              <w:left w:val="nil"/>
              <w:bottom w:val="single" w:color="auto" w:sz="4" w:space="0"/>
              <w:right w:val="single" w:color="auto" w:sz="4" w:space="0"/>
            </w:tcBorders>
            <w:shd w:val="clear" w:color="auto" w:fill="auto"/>
            <w:vAlign w:val="center"/>
          </w:tcPr>
          <w:p w14:paraId="4DA0C72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167.88</w:t>
            </w:r>
          </w:p>
        </w:tc>
        <w:tc>
          <w:tcPr>
            <w:tcW w:w="560" w:type="pct"/>
            <w:tcBorders>
              <w:top w:val="nil"/>
              <w:left w:val="nil"/>
              <w:bottom w:val="single" w:color="auto" w:sz="4" w:space="0"/>
              <w:right w:val="single" w:color="auto" w:sz="4" w:space="0"/>
            </w:tcBorders>
            <w:shd w:val="clear" w:color="auto" w:fill="auto"/>
            <w:vAlign w:val="center"/>
          </w:tcPr>
          <w:p w14:paraId="2C05C28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167.88</w:t>
            </w:r>
          </w:p>
        </w:tc>
        <w:tc>
          <w:tcPr>
            <w:tcW w:w="426" w:type="pct"/>
            <w:tcBorders>
              <w:top w:val="nil"/>
              <w:left w:val="nil"/>
              <w:bottom w:val="single" w:color="auto" w:sz="4" w:space="0"/>
              <w:right w:val="single" w:color="auto" w:sz="4" w:space="0"/>
            </w:tcBorders>
            <w:shd w:val="clear" w:color="auto" w:fill="auto"/>
            <w:vAlign w:val="center"/>
          </w:tcPr>
          <w:p w14:paraId="7404327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503" w:type="pct"/>
            <w:tcBorders>
              <w:top w:val="nil"/>
              <w:left w:val="nil"/>
              <w:bottom w:val="single" w:color="auto" w:sz="4" w:space="0"/>
              <w:right w:val="single" w:color="auto" w:sz="4" w:space="0"/>
            </w:tcBorders>
            <w:shd w:val="clear" w:color="auto" w:fill="auto"/>
            <w:vAlign w:val="center"/>
          </w:tcPr>
          <w:p w14:paraId="6012053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509" w:type="pct"/>
            <w:tcBorders>
              <w:top w:val="nil"/>
              <w:left w:val="nil"/>
              <w:bottom w:val="single" w:color="auto" w:sz="4" w:space="0"/>
              <w:right w:val="single" w:color="auto" w:sz="4" w:space="0"/>
            </w:tcBorders>
            <w:shd w:val="clear" w:color="auto" w:fill="auto"/>
            <w:vAlign w:val="center"/>
          </w:tcPr>
          <w:p w14:paraId="2E5F933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2B4E08BE">
        <w:tblPrEx>
          <w:tblCellMar>
            <w:top w:w="0" w:type="dxa"/>
            <w:left w:w="108" w:type="dxa"/>
            <w:bottom w:w="0" w:type="dxa"/>
            <w:right w:w="108" w:type="dxa"/>
          </w:tblCellMar>
        </w:tblPrEx>
        <w:trPr>
          <w:trHeight w:val="488" w:hRule="atLeast"/>
        </w:trPr>
        <w:tc>
          <w:tcPr>
            <w:tcW w:w="111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C62FF2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年度总体目标</w:t>
            </w:r>
          </w:p>
        </w:tc>
        <w:tc>
          <w:tcPr>
            <w:tcW w:w="1890" w:type="pct"/>
            <w:gridSpan w:val="3"/>
            <w:tcBorders>
              <w:top w:val="single" w:color="auto" w:sz="4" w:space="0"/>
              <w:left w:val="nil"/>
              <w:bottom w:val="single" w:color="auto" w:sz="4" w:space="0"/>
              <w:right w:val="single" w:color="auto" w:sz="4" w:space="0"/>
            </w:tcBorders>
            <w:shd w:val="clear" w:color="auto" w:fill="auto"/>
            <w:noWrap/>
            <w:vAlign w:val="center"/>
          </w:tcPr>
          <w:p w14:paraId="6CE244C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预期目标</w:t>
            </w:r>
          </w:p>
        </w:tc>
        <w:tc>
          <w:tcPr>
            <w:tcW w:w="1998" w:type="pct"/>
            <w:gridSpan w:val="4"/>
            <w:tcBorders>
              <w:top w:val="single" w:color="auto" w:sz="4" w:space="0"/>
              <w:left w:val="nil"/>
              <w:bottom w:val="single" w:color="auto" w:sz="4" w:space="0"/>
              <w:right w:val="single" w:color="auto" w:sz="4" w:space="0"/>
            </w:tcBorders>
            <w:shd w:val="clear" w:color="auto" w:fill="auto"/>
            <w:noWrap/>
            <w:vAlign w:val="center"/>
          </w:tcPr>
          <w:p w14:paraId="3F75F53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实际完成情况</w:t>
            </w:r>
          </w:p>
        </w:tc>
      </w:tr>
      <w:tr w14:paraId="1A4ABB8A">
        <w:tblPrEx>
          <w:tblCellMar>
            <w:top w:w="0" w:type="dxa"/>
            <w:left w:w="108" w:type="dxa"/>
            <w:bottom w:w="0" w:type="dxa"/>
            <w:right w:w="108" w:type="dxa"/>
          </w:tblCellMar>
        </w:tblPrEx>
        <w:trPr>
          <w:trHeight w:val="2001" w:hRule="atLeast"/>
        </w:trPr>
        <w:tc>
          <w:tcPr>
            <w:tcW w:w="1112" w:type="pct"/>
            <w:vMerge w:val="continue"/>
            <w:tcBorders>
              <w:top w:val="single" w:color="auto" w:sz="4" w:space="0"/>
              <w:left w:val="single" w:color="auto" w:sz="4" w:space="0"/>
              <w:bottom w:val="single" w:color="auto" w:sz="4" w:space="0"/>
              <w:right w:val="single" w:color="auto" w:sz="4" w:space="0"/>
            </w:tcBorders>
            <w:vAlign w:val="center"/>
          </w:tcPr>
          <w:p w14:paraId="6BB223DB">
            <w:pPr>
              <w:widowControl/>
              <w:jc w:val="left"/>
              <w:rPr>
                <w:rFonts w:hint="eastAsia" w:cs="宋体" w:asciiTheme="minorEastAsia" w:hAnsiTheme="minorEastAsia" w:eastAsiaTheme="minorEastAsia"/>
                <w:kern w:val="0"/>
                <w:sz w:val="20"/>
                <w:szCs w:val="20"/>
              </w:rPr>
            </w:pPr>
          </w:p>
        </w:tc>
        <w:tc>
          <w:tcPr>
            <w:tcW w:w="1890" w:type="pct"/>
            <w:gridSpan w:val="3"/>
            <w:tcBorders>
              <w:top w:val="single" w:color="auto" w:sz="4" w:space="0"/>
              <w:left w:val="nil"/>
              <w:bottom w:val="single" w:color="auto" w:sz="4" w:space="0"/>
              <w:right w:val="single" w:color="auto" w:sz="4" w:space="0"/>
            </w:tcBorders>
            <w:shd w:val="clear" w:color="auto" w:fill="auto"/>
            <w:vAlign w:val="center"/>
          </w:tcPr>
          <w:p w14:paraId="2C1689A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2023年完成全年人影作业任务，保障气象、人影等设备稳定运行。</w:t>
            </w:r>
          </w:p>
        </w:tc>
        <w:tc>
          <w:tcPr>
            <w:tcW w:w="1998" w:type="pct"/>
            <w:gridSpan w:val="4"/>
            <w:tcBorders>
              <w:top w:val="single" w:color="auto" w:sz="4" w:space="0"/>
              <w:left w:val="nil"/>
              <w:bottom w:val="single" w:color="auto" w:sz="4" w:space="0"/>
              <w:right w:val="single" w:color="auto" w:sz="4" w:space="0"/>
            </w:tcBorders>
            <w:shd w:val="clear" w:color="auto" w:fill="auto"/>
            <w:vAlign w:val="center"/>
          </w:tcPr>
          <w:p w14:paraId="77ABF10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截止2023年本单位整体自评，我单位已完成如下工作：地面碘化银烟炉数30个，移动火箭作业次数20次，地面碘化银烟炉作业次数20次，保障了气象、人影等设备稳定运行。</w:t>
            </w:r>
          </w:p>
        </w:tc>
      </w:tr>
      <w:tr w14:paraId="1E3CD4F2">
        <w:tblPrEx>
          <w:tblCellMar>
            <w:top w:w="0" w:type="dxa"/>
            <w:left w:w="108" w:type="dxa"/>
            <w:bottom w:w="0" w:type="dxa"/>
            <w:right w:w="108" w:type="dxa"/>
          </w:tblCellMar>
        </w:tblPrEx>
        <w:trPr>
          <w:trHeight w:val="579" w:hRule="atLeast"/>
        </w:trPr>
        <w:tc>
          <w:tcPr>
            <w:tcW w:w="1112" w:type="pct"/>
            <w:tcBorders>
              <w:top w:val="single" w:color="auto" w:sz="4" w:space="0"/>
              <w:left w:val="single" w:color="auto" w:sz="4" w:space="0"/>
              <w:bottom w:val="single" w:color="auto" w:sz="4" w:space="0"/>
              <w:right w:val="single" w:color="auto" w:sz="4" w:space="0"/>
            </w:tcBorders>
            <w:shd w:val="clear" w:color="auto" w:fill="auto"/>
            <w:vAlign w:val="center"/>
          </w:tcPr>
          <w:p w14:paraId="40096BE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一级指标</w:t>
            </w:r>
          </w:p>
        </w:tc>
        <w:tc>
          <w:tcPr>
            <w:tcW w:w="686" w:type="pct"/>
            <w:tcBorders>
              <w:top w:val="nil"/>
              <w:left w:val="nil"/>
              <w:bottom w:val="single" w:color="auto" w:sz="4" w:space="0"/>
              <w:right w:val="single" w:color="auto" w:sz="4" w:space="0"/>
            </w:tcBorders>
            <w:shd w:val="clear" w:color="auto" w:fill="auto"/>
            <w:vAlign w:val="center"/>
          </w:tcPr>
          <w:p w14:paraId="447C934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二级指标</w:t>
            </w:r>
          </w:p>
        </w:tc>
        <w:tc>
          <w:tcPr>
            <w:tcW w:w="665" w:type="pct"/>
            <w:tcBorders>
              <w:top w:val="nil"/>
              <w:left w:val="nil"/>
              <w:bottom w:val="single" w:color="auto" w:sz="4" w:space="0"/>
              <w:right w:val="single" w:color="auto" w:sz="4" w:space="0"/>
            </w:tcBorders>
            <w:shd w:val="clear" w:color="auto" w:fill="auto"/>
            <w:vAlign w:val="center"/>
          </w:tcPr>
          <w:p w14:paraId="7A2A938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三级指标</w:t>
            </w:r>
          </w:p>
        </w:tc>
        <w:tc>
          <w:tcPr>
            <w:tcW w:w="539" w:type="pct"/>
            <w:tcBorders>
              <w:top w:val="nil"/>
              <w:left w:val="nil"/>
              <w:bottom w:val="single" w:color="auto" w:sz="4" w:space="0"/>
              <w:right w:val="single" w:color="auto" w:sz="4" w:space="0"/>
            </w:tcBorders>
            <w:shd w:val="clear" w:color="auto" w:fill="auto"/>
            <w:vAlign w:val="center"/>
          </w:tcPr>
          <w:p w14:paraId="4E6BB87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预期指标值</w:t>
            </w:r>
          </w:p>
        </w:tc>
        <w:tc>
          <w:tcPr>
            <w:tcW w:w="560" w:type="pct"/>
            <w:tcBorders>
              <w:top w:val="nil"/>
              <w:left w:val="nil"/>
              <w:bottom w:val="single" w:color="auto" w:sz="4" w:space="0"/>
              <w:right w:val="single" w:color="auto" w:sz="4" w:space="0"/>
            </w:tcBorders>
            <w:shd w:val="clear" w:color="auto" w:fill="auto"/>
            <w:vAlign w:val="center"/>
          </w:tcPr>
          <w:p w14:paraId="15901C6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指标值设定依据</w:t>
            </w:r>
          </w:p>
        </w:tc>
        <w:tc>
          <w:tcPr>
            <w:tcW w:w="426" w:type="pct"/>
            <w:tcBorders>
              <w:top w:val="nil"/>
              <w:left w:val="nil"/>
              <w:bottom w:val="single" w:color="auto" w:sz="4" w:space="0"/>
              <w:right w:val="single" w:color="auto" w:sz="4" w:space="0"/>
            </w:tcBorders>
            <w:shd w:val="clear" w:color="auto" w:fill="auto"/>
            <w:vAlign w:val="center"/>
          </w:tcPr>
          <w:p w14:paraId="549D475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503" w:type="pct"/>
            <w:tcBorders>
              <w:top w:val="nil"/>
              <w:left w:val="nil"/>
              <w:bottom w:val="single" w:color="auto" w:sz="4" w:space="0"/>
              <w:right w:val="single" w:color="auto" w:sz="4" w:space="0"/>
            </w:tcBorders>
            <w:shd w:val="clear" w:color="auto" w:fill="auto"/>
            <w:vAlign w:val="center"/>
          </w:tcPr>
          <w:p w14:paraId="30C7DFB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实际完成指标值</w:t>
            </w:r>
          </w:p>
        </w:tc>
        <w:tc>
          <w:tcPr>
            <w:tcW w:w="509" w:type="pct"/>
            <w:tcBorders>
              <w:top w:val="nil"/>
              <w:left w:val="nil"/>
              <w:bottom w:val="single" w:color="auto" w:sz="4" w:space="0"/>
              <w:right w:val="single" w:color="auto" w:sz="4" w:space="0"/>
            </w:tcBorders>
            <w:shd w:val="clear" w:color="auto" w:fill="auto"/>
            <w:vAlign w:val="center"/>
          </w:tcPr>
          <w:p w14:paraId="7EDDCE3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14:paraId="0DE8DC2E">
        <w:tblPrEx>
          <w:tblCellMar>
            <w:top w:w="0" w:type="dxa"/>
            <w:left w:w="108" w:type="dxa"/>
            <w:bottom w:w="0" w:type="dxa"/>
            <w:right w:w="108" w:type="dxa"/>
          </w:tblCellMar>
        </w:tblPrEx>
        <w:trPr>
          <w:trHeight w:val="741" w:hRule="atLeast"/>
        </w:trPr>
        <w:tc>
          <w:tcPr>
            <w:tcW w:w="1112" w:type="pct"/>
            <w:tcBorders>
              <w:top w:val="single" w:color="auto" w:sz="4" w:space="0"/>
              <w:left w:val="single" w:color="auto" w:sz="4" w:space="0"/>
              <w:bottom w:val="single" w:color="auto" w:sz="4" w:space="0"/>
              <w:right w:val="single" w:color="auto" w:sz="4" w:space="0"/>
            </w:tcBorders>
            <w:shd w:val="clear" w:color="auto" w:fill="auto"/>
            <w:vAlign w:val="center"/>
          </w:tcPr>
          <w:p w14:paraId="1EC20DF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运行成本</w:t>
            </w:r>
          </w:p>
        </w:tc>
        <w:tc>
          <w:tcPr>
            <w:tcW w:w="686" w:type="pct"/>
            <w:vMerge w:val="restart"/>
            <w:tcBorders>
              <w:top w:val="nil"/>
              <w:left w:val="single" w:color="auto" w:sz="4" w:space="0"/>
              <w:bottom w:val="single" w:color="auto" w:sz="4" w:space="0"/>
              <w:right w:val="single" w:color="auto" w:sz="4" w:space="0"/>
            </w:tcBorders>
            <w:shd w:val="clear" w:color="auto" w:fill="auto"/>
            <w:vAlign w:val="center"/>
          </w:tcPr>
          <w:p w14:paraId="159EDCE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bookmarkStart w:id="48" w:name="_GoBack"/>
            <w:bookmarkEnd w:id="48"/>
          </w:p>
        </w:tc>
        <w:tc>
          <w:tcPr>
            <w:tcW w:w="665" w:type="pct"/>
            <w:tcBorders>
              <w:top w:val="nil"/>
              <w:left w:val="nil"/>
              <w:bottom w:val="single" w:color="auto" w:sz="4" w:space="0"/>
              <w:right w:val="single" w:color="auto" w:sz="4" w:space="0"/>
            </w:tcBorders>
            <w:shd w:val="clear" w:color="auto" w:fill="auto"/>
            <w:vAlign w:val="center"/>
          </w:tcPr>
          <w:p w14:paraId="0A8E574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保障办公人员数量</w:t>
            </w:r>
          </w:p>
        </w:tc>
        <w:tc>
          <w:tcPr>
            <w:tcW w:w="539" w:type="pct"/>
            <w:tcBorders>
              <w:top w:val="nil"/>
              <w:left w:val="nil"/>
              <w:bottom w:val="single" w:color="auto" w:sz="4" w:space="0"/>
              <w:right w:val="single" w:color="auto" w:sz="4" w:space="0"/>
            </w:tcBorders>
            <w:shd w:val="clear" w:color="auto" w:fill="auto"/>
            <w:vAlign w:val="center"/>
          </w:tcPr>
          <w:p w14:paraId="11B6F6D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&gt;=5人</w:t>
            </w:r>
          </w:p>
        </w:tc>
        <w:tc>
          <w:tcPr>
            <w:tcW w:w="560" w:type="pct"/>
            <w:tcBorders>
              <w:top w:val="nil"/>
              <w:left w:val="nil"/>
              <w:bottom w:val="single" w:color="auto" w:sz="4" w:space="0"/>
              <w:right w:val="single" w:color="auto" w:sz="4" w:space="0"/>
            </w:tcBorders>
            <w:shd w:val="clear" w:color="auto" w:fill="auto"/>
            <w:vAlign w:val="center"/>
          </w:tcPr>
          <w:p w14:paraId="33286AD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关于印发《木垒哈萨克自治县气象局所属事业单位分类改革方案》的通知</w:t>
            </w:r>
          </w:p>
        </w:tc>
        <w:tc>
          <w:tcPr>
            <w:tcW w:w="426" w:type="pct"/>
            <w:tcBorders>
              <w:top w:val="nil"/>
              <w:left w:val="nil"/>
              <w:bottom w:val="single" w:color="auto" w:sz="4" w:space="0"/>
              <w:right w:val="single" w:color="auto" w:sz="4" w:space="0"/>
            </w:tcBorders>
            <w:shd w:val="clear" w:color="auto" w:fill="auto"/>
            <w:vAlign w:val="center"/>
          </w:tcPr>
          <w:p w14:paraId="3097F16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w:t>
            </w:r>
          </w:p>
        </w:tc>
        <w:tc>
          <w:tcPr>
            <w:tcW w:w="503" w:type="pct"/>
            <w:tcBorders>
              <w:top w:val="nil"/>
              <w:left w:val="nil"/>
              <w:bottom w:val="single" w:color="auto" w:sz="4" w:space="0"/>
              <w:right w:val="single" w:color="auto" w:sz="4" w:space="0"/>
            </w:tcBorders>
            <w:shd w:val="clear" w:color="auto" w:fill="auto"/>
            <w:vAlign w:val="center"/>
          </w:tcPr>
          <w:p w14:paraId="5013FB5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5人</w:t>
            </w:r>
          </w:p>
        </w:tc>
        <w:tc>
          <w:tcPr>
            <w:tcW w:w="509" w:type="pct"/>
            <w:tcBorders>
              <w:top w:val="nil"/>
              <w:left w:val="nil"/>
              <w:bottom w:val="single" w:color="auto" w:sz="4" w:space="0"/>
              <w:right w:val="single" w:color="auto" w:sz="4" w:space="0"/>
            </w:tcBorders>
            <w:shd w:val="clear" w:color="auto" w:fill="auto"/>
            <w:vAlign w:val="center"/>
          </w:tcPr>
          <w:p w14:paraId="299D2D8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w:t>
            </w:r>
          </w:p>
        </w:tc>
      </w:tr>
      <w:tr w14:paraId="24808850">
        <w:tblPrEx>
          <w:tblCellMar>
            <w:top w:w="0" w:type="dxa"/>
            <w:left w:w="108" w:type="dxa"/>
            <w:bottom w:w="0" w:type="dxa"/>
            <w:right w:w="108" w:type="dxa"/>
          </w:tblCellMar>
        </w:tblPrEx>
        <w:trPr>
          <w:trHeight w:val="741" w:hRule="atLeast"/>
        </w:trPr>
        <w:tc>
          <w:tcPr>
            <w:tcW w:w="111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9538A6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管理效率</w:t>
            </w:r>
          </w:p>
        </w:tc>
        <w:tc>
          <w:tcPr>
            <w:tcW w:w="686" w:type="pct"/>
            <w:vMerge w:val="continue"/>
            <w:tcBorders>
              <w:top w:val="nil"/>
              <w:left w:val="single" w:color="auto" w:sz="4" w:space="0"/>
              <w:bottom w:val="single" w:color="auto" w:sz="4" w:space="0"/>
              <w:right w:val="single" w:color="auto" w:sz="4" w:space="0"/>
            </w:tcBorders>
            <w:vAlign w:val="center"/>
          </w:tcPr>
          <w:p w14:paraId="54F18C60">
            <w:pPr>
              <w:widowControl/>
              <w:jc w:val="left"/>
              <w:rPr>
                <w:rFonts w:hint="eastAsia" w:cs="宋体" w:asciiTheme="minorEastAsia" w:hAnsiTheme="minorEastAsia" w:eastAsiaTheme="minorEastAsia"/>
                <w:kern w:val="0"/>
                <w:sz w:val="20"/>
                <w:szCs w:val="20"/>
              </w:rPr>
            </w:pPr>
          </w:p>
        </w:tc>
        <w:tc>
          <w:tcPr>
            <w:tcW w:w="665" w:type="pct"/>
            <w:tcBorders>
              <w:top w:val="nil"/>
              <w:left w:val="nil"/>
              <w:bottom w:val="single" w:color="auto" w:sz="4" w:space="0"/>
              <w:right w:val="single" w:color="auto" w:sz="4" w:space="0"/>
            </w:tcBorders>
            <w:shd w:val="clear" w:color="auto" w:fill="auto"/>
            <w:vAlign w:val="center"/>
          </w:tcPr>
          <w:p w14:paraId="51A31B7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作业人员人数</w:t>
            </w:r>
          </w:p>
        </w:tc>
        <w:tc>
          <w:tcPr>
            <w:tcW w:w="539" w:type="pct"/>
            <w:tcBorders>
              <w:top w:val="nil"/>
              <w:left w:val="nil"/>
              <w:bottom w:val="single" w:color="auto" w:sz="4" w:space="0"/>
              <w:right w:val="single" w:color="auto" w:sz="4" w:space="0"/>
            </w:tcBorders>
            <w:shd w:val="clear" w:color="auto" w:fill="auto"/>
            <w:vAlign w:val="center"/>
          </w:tcPr>
          <w:p w14:paraId="7962515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&gt;=6人</w:t>
            </w:r>
          </w:p>
        </w:tc>
        <w:tc>
          <w:tcPr>
            <w:tcW w:w="560" w:type="pct"/>
            <w:tcBorders>
              <w:top w:val="nil"/>
              <w:left w:val="nil"/>
              <w:bottom w:val="single" w:color="auto" w:sz="4" w:space="0"/>
              <w:right w:val="single" w:color="auto" w:sz="4" w:space="0"/>
            </w:tcBorders>
            <w:shd w:val="clear" w:color="auto" w:fill="auto"/>
            <w:vAlign w:val="center"/>
          </w:tcPr>
          <w:p w14:paraId="4BD85D8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木垒哈萨克自治县人工影响天气办公室（气象灾害防御中心）2023年工作计划</w:t>
            </w:r>
          </w:p>
        </w:tc>
        <w:tc>
          <w:tcPr>
            <w:tcW w:w="426" w:type="pct"/>
            <w:tcBorders>
              <w:top w:val="nil"/>
              <w:left w:val="nil"/>
              <w:bottom w:val="single" w:color="auto" w:sz="4" w:space="0"/>
              <w:right w:val="single" w:color="auto" w:sz="4" w:space="0"/>
            </w:tcBorders>
            <w:shd w:val="clear" w:color="auto" w:fill="auto"/>
            <w:vAlign w:val="center"/>
          </w:tcPr>
          <w:p w14:paraId="468846D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503" w:type="pct"/>
            <w:tcBorders>
              <w:top w:val="nil"/>
              <w:left w:val="nil"/>
              <w:bottom w:val="single" w:color="auto" w:sz="4" w:space="0"/>
              <w:right w:val="single" w:color="auto" w:sz="4" w:space="0"/>
            </w:tcBorders>
            <w:shd w:val="clear" w:color="auto" w:fill="auto"/>
            <w:vAlign w:val="center"/>
          </w:tcPr>
          <w:p w14:paraId="7511FD7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6人</w:t>
            </w:r>
          </w:p>
        </w:tc>
        <w:tc>
          <w:tcPr>
            <w:tcW w:w="509" w:type="pct"/>
            <w:tcBorders>
              <w:top w:val="nil"/>
              <w:left w:val="nil"/>
              <w:bottom w:val="single" w:color="auto" w:sz="4" w:space="0"/>
              <w:right w:val="single" w:color="auto" w:sz="4" w:space="0"/>
            </w:tcBorders>
            <w:shd w:val="clear" w:color="auto" w:fill="auto"/>
            <w:vAlign w:val="center"/>
          </w:tcPr>
          <w:p w14:paraId="4E36B9B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1852BECC">
        <w:tblPrEx>
          <w:tblCellMar>
            <w:top w:w="0" w:type="dxa"/>
            <w:left w:w="108" w:type="dxa"/>
            <w:bottom w:w="0" w:type="dxa"/>
            <w:right w:w="108" w:type="dxa"/>
          </w:tblCellMar>
        </w:tblPrEx>
        <w:trPr>
          <w:trHeight w:val="741" w:hRule="atLeast"/>
        </w:trPr>
        <w:tc>
          <w:tcPr>
            <w:tcW w:w="1112" w:type="pct"/>
            <w:vMerge w:val="continue"/>
            <w:tcBorders>
              <w:top w:val="single" w:color="auto" w:sz="4" w:space="0"/>
              <w:left w:val="single" w:color="auto" w:sz="4" w:space="0"/>
              <w:bottom w:val="single" w:color="auto" w:sz="4" w:space="0"/>
              <w:right w:val="single" w:color="auto" w:sz="4" w:space="0"/>
            </w:tcBorders>
            <w:vAlign w:val="center"/>
          </w:tcPr>
          <w:p w14:paraId="71FA3A2E">
            <w:pPr>
              <w:widowControl/>
              <w:jc w:val="left"/>
              <w:rPr>
                <w:rFonts w:hint="eastAsia" w:cs="宋体" w:asciiTheme="minorEastAsia" w:hAnsiTheme="minorEastAsia" w:eastAsiaTheme="minorEastAsia"/>
                <w:kern w:val="0"/>
                <w:sz w:val="20"/>
                <w:szCs w:val="20"/>
              </w:rPr>
            </w:pPr>
          </w:p>
        </w:tc>
        <w:tc>
          <w:tcPr>
            <w:tcW w:w="686" w:type="pct"/>
            <w:vMerge w:val="continue"/>
            <w:tcBorders>
              <w:top w:val="nil"/>
              <w:left w:val="single" w:color="auto" w:sz="4" w:space="0"/>
              <w:bottom w:val="single" w:color="auto" w:sz="4" w:space="0"/>
              <w:right w:val="single" w:color="auto" w:sz="4" w:space="0"/>
            </w:tcBorders>
            <w:vAlign w:val="center"/>
          </w:tcPr>
          <w:p w14:paraId="2796DDBD">
            <w:pPr>
              <w:widowControl/>
              <w:jc w:val="left"/>
              <w:rPr>
                <w:rFonts w:hint="eastAsia" w:cs="宋体" w:asciiTheme="minorEastAsia" w:hAnsiTheme="minorEastAsia" w:eastAsiaTheme="minorEastAsia"/>
                <w:kern w:val="0"/>
                <w:sz w:val="20"/>
                <w:szCs w:val="20"/>
              </w:rPr>
            </w:pPr>
          </w:p>
        </w:tc>
        <w:tc>
          <w:tcPr>
            <w:tcW w:w="665" w:type="pct"/>
            <w:tcBorders>
              <w:top w:val="nil"/>
              <w:left w:val="nil"/>
              <w:bottom w:val="single" w:color="auto" w:sz="4" w:space="0"/>
              <w:right w:val="single" w:color="auto" w:sz="4" w:space="0"/>
            </w:tcBorders>
            <w:shd w:val="clear" w:color="auto" w:fill="auto"/>
            <w:vAlign w:val="center"/>
          </w:tcPr>
          <w:p w14:paraId="61C56C3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地面碘化银烟炉数</w:t>
            </w:r>
          </w:p>
        </w:tc>
        <w:tc>
          <w:tcPr>
            <w:tcW w:w="539" w:type="pct"/>
            <w:tcBorders>
              <w:top w:val="nil"/>
              <w:left w:val="nil"/>
              <w:bottom w:val="single" w:color="auto" w:sz="4" w:space="0"/>
              <w:right w:val="single" w:color="auto" w:sz="4" w:space="0"/>
            </w:tcBorders>
            <w:shd w:val="clear" w:color="auto" w:fill="auto"/>
            <w:vAlign w:val="center"/>
          </w:tcPr>
          <w:p w14:paraId="6DD5113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&gt;=30个</w:t>
            </w:r>
          </w:p>
        </w:tc>
        <w:tc>
          <w:tcPr>
            <w:tcW w:w="560" w:type="pct"/>
            <w:tcBorders>
              <w:top w:val="nil"/>
              <w:left w:val="nil"/>
              <w:bottom w:val="single" w:color="auto" w:sz="4" w:space="0"/>
              <w:right w:val="single" w:color="auto" w:sz="4" w:space="0"/>
            </w:tcBorders>
            <w:shd w:val="clear" w:color="auto" w:fill="auto"/>
            <w:vAlign w:val="center"/>
          </w:tcPr>
          <w:p w14:paraId="220203E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木垒哈萨克自治县人工影响天气办公室（气象灾害防御中心）2023年工作计划</w:t>
            </w:r>
          </w:p>
        </w:tc>
        <w:tc>
          <w:tcPr>
            <w:tcW w:w="426" w:type="pct"/>
            <w:tcBorders>
              <w:top w:val="nil"/>
              <w:left w:val="nil"/>
              <w:bottom w:val="single" w:color="auto" w:sz="4" w:space="0"/>
              <w:right w:val="single" w:color="auto" w:sz="4" w:space="0"/>
            </w:tcBorders>
            <w:shd w:val="clear" w:color="auto" w:fill="auto"/>
            <w:vAlign w:val="center"/>
          </w:tcPr>
          <w:p w14:paraId="425DAE0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16</w:t>
            </w:r>
          </w:p>
        </w:tc>
        <w:tc>
          <w:tcPr>
            <w:tcW w:w="503" w:type="pct"/>
            <w:tcBorders>
              <w:top w:val="nil"/>
              <w:left w:val="nil"/>
              <w:bottom w:val="single" w:color="auto" w:sz="4" w:space="0"/>
              <w:right w:val="single" w:color="auto" w:sz="4" w:space="0"/>
            </w:tcBorders>
            <w:shd w:val="clear" w:color="auto" w:fill="auto"/>
            <w:vAlign w:val="center"/>
          </w:tcPr>
          <w:p w14:paraId="1EEA4A5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30个</w:t>
            </w:r>
          </w:p>
        </w:tc>
        <w:tc>
          <w:tcPr>
            <w:tcW w:w="509" w:type="pct"/>
            <w:tcBorders>
              <w:top w:val="nil"/>
              <w:left w:val="nil"/>
              <w:bottom w:val="single" w:color="auto" w:sz="4" w:space="0"/>
              <w:right w:val="single" w:color="auto" w:sz="4" w:space="0"/>
            </w:tcBorders>
            <w:shd w:val="clear" w:color="auto" w:fill="auto"/>
            <w:vAlign w:val="center"/>
          </w:tcPr>
          <w:p w14:paraId="1D31BE0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16</w:t>
            </w:r>
          </w:p>
        </w:tc>
      </w:tr>
      <w:tr w14:paraId="6CEAC9AE">
        <w:tblPrEx>
          <w:tblCellMar>
            <w:top w:w="0" w:type="dxa"/>
            <w:left w:w="108" w:type="dxa"/>
            <w:bottom w:w="0" w:type="dxa"/>
            <w:right w:w="108" w:type="dxa"/>
          </w:tblCellMar>
        </w:tblPrEx>
        <w:trPr>
          <w:trHeight w:val="741" w:hRule="atLeast"/>
        </w:trPr>
        <w:tc>
          <w:tcPr>
            <w:tcW w:w="111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96E65D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履职效能</w:t>
            </w:r>
          </w:p>
        </w:tc>
        <w:tc>
          <w:tcPr>
            <w:tcW w:w="686" w:type="pct"/>
            <w:vMerge w:val="continue"/>
            <w:tcBorders>
              <w:top w:val="nil"/>
              <w:left w:val="single" w:color="auto" w:sz="4" w:space="0"/>
              <w:bottom w:val="single" w:color="auto" w:sz="4" w:space="0"/>
              <w:right w:val="single" w:color="auto" w:sz="4" w:space="0"/>
            </w:tcBorders>
            <w:vAlign w:val="center"/>
          </w:tcPr>
          <w:p w14:paraId="5B449DE6">
            <w:pPr>
              <w:widowControl/>
              <w:jc w:val="left"/>
              <w:rPr>
                <w:rFonts w:hint="eastAsia" w:cs="宋体" w:asciiTheme="minorEastAsia" w:hAnsiTheme="minorEastAsia" w:eastAsiaTheme="minorEastAsia"/>
                <w:kern w:val="0"/>
                <w:sz w:val="20"/>
                <w:szCs w:val="20"/>
              </w:rPr>
            </w:pPr>
          </w:p>
        </w:tc>
        <w:tc>
          <w:tcPr>
            <w:tcW w:w="665" w:type="pct"/>
            <w:tcBorders>
              <w:top w:val="nil"/>
              <w:left w:val="nil"/>
              <w:bottom w:val="single" w:color="auto" w:sz="4" w:space="0"/>
              <w:right w:val="single" w:color="auto" w:sz="4" w:space="0"/>
            </w:tcBorders>
            <w:shd w:val="clear" w:color="auto" w:fill="auto"/>
            <w:vAlign w:val="center"/>
          </w:tcPr>
          <w:p w14:paraId="726A696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移动火箭作业次数</w:t>
            </w:r>
          </w:p>
        </w:tc>
        <w:tc>
          <w:tcPr>
            <w:tcW w:w="539" w:type="pct"/>
            <w:tcBorders>
              <w:top w:val="nil"/>
              <w:left w:val="nil"/>
              <w:bottom w:val="single" w:color="auto" w:sz="4" w:space="0"/>
              <w:right w:val="single" w:color="auto" w:sz="4" w:space="0"/>
            </w:tcBorders>
            <w:shd w:val="clear" w:color="auto" w:fill="auto"/>
            <w:vAlign w:val="center"/>
          </w:tcPr>
          <w:p w14:paraId="77598C7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&gt;=20次</w:t>
            </w:r>
          </w:p>
        </w:tc>
        <w:tc>
          <w:tcPr>
            <w:tcW w:w="560" w:type="pct"/>
            <w:tcBorders>
              <w:top w:val="nil"/>
              <w:left w:val="nil"/>
              <w:bottom w:val="single" w:color="auto" w:sz="4" w:space="0"/>
              <w:right w:val="single" w:color="auto" w:sz="4" w:space="0"/>
            </w:tcBorders>
            <w:shd w:val="clear" w:color="auto" w:fill="auto"/>
            <w:vAlign w:val="center"/>
          </w:tcPr>
          <w:p w14:paraId="416FD17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木垒哈萨克自治县人工影响天气办公室（气象灾害防御中心）2023年工作计划</w:t>
            </w:r>
          </w:p>
        </w:tc>
        <w:tc>
          <w:tcPr>
            <w:tcW w:w="426" w:type="pct"/>
            <w:tcBorders>
              <w:top w:val="nil"/>
              <w:left w:val="nil"/>
              <w:bottom w:val="single" w:color="auto" w:sz="4" w:space="0"/>
              <w:right w:val="single" w:color="auto" w:sz="4" w:space="0"/>
            </w:tcBorders>
            <w:shd w:val="clear" w:color="auto" w:fill="auto"/>
            <w:vAlign w:val="center"/>
          </w:tcPr>
          <w:p w14:paraId="79C34FF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w:t>
            </w:r>
          </w:p>
        </w:tc>
        <w:tc>
          <w:tcPr>
            <w:tcW w:w="503" w:type="pct"/>
            <w:tcBorders>
              <w:top w:val="nil"/>
              <w:left w:val="nil"/>
              <w:bottom w:val="single" w:color="auto" w:sz="4" w:space="0"/>
              <w:right w:val="single" w:color="auto" w:sz="4" w:space="0"/>
            </w:tcBorders>
            <w:shd w:val="clear" w:color="auto" w:fill="auto"/>
            <w:vAlign w:val="center"/>
          </w:tcPr>
          <w:p w14:paraId="54DEB39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20次</w:t>
            </w:r>
          </w:p>
        </w:tc>
        <w:tc>
          <w:tcPr>
            <w:tcW w:w="509" w:type="pct"/>
            <w:tcBorders>
              <w:top w:val="nil"/>
              <w:left w:val="nil"/>
              <w:bottom w:val="single" w:color="auto" w:sz="4" w:space="0"/>
              <w:right w:val="single" w:color="auto" w:sz="4" w:space="0"/>
            </w:tcBorders>
            <w:shd w:val="clear" w:color="auto" w:fill="auto"/>
            <w:vAlign w:val="center"/>
          </w:tcPr>
          <w:p w14:paraId="7E9D203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w:t>
            </w:r>
          </w:p>
        </w:tc>
      </w:tr>
      <w:tr w14:paraId="19D59C5D">
        <w:tblPrEx>
          <w:tblCellMar>
            <w:top w:w="0" w:type="dxa"/>
            <w:left w:w="108" w:type="dxa"/>
            <w:bottom w:w="0" w:type="dxa"/>
            <w:right w:w="108" w:type="dxa"/>
          </w:tblCellMar>
        </w:tblPrEx>
        <w:trPr>
          <w:trHeight w:val="741" w:hRule="atLeast"/>
        </w:trPr>
        <w:tc>
          <w:tcPr>
            <w:tcW w:w="1112" w:type="pct"/>
            <w:vMerge w:val="continue"/>
            <w:tcBorders>
              <w:top w:val="single" w:color="auto" w:sz="4" w:space="0"/>
              <w:left w:val="single" w:color="auto" w:sz="4" w:space="0"/>
              <w:bottom w:val="single" w:color="auto" w:sz="4" w:space="0"/>
              <w:right w:val="single" w:color="auto" w:sz="4" w:space="0"/>
            </w:tcBorders>
            <w:vAlign w:val="center"/>
          </w:tcPr>
          <w:p w14:paraId="06480C6E">
            <w:pPr>
              <w:widowControl/>
              <w:jc w:val="left"/>
              <w:rPr>
                <w:rFonts w:hint="eastAsia" w:cs="宋体" w:asciiTheme="minorEastAsia" w:hAnsiTheme="minorEastAsia" w:eastAsiaTheme="minorEastAsia"/>
                <w:kern w:val="0"/>
                <w:sz w:val="20"/>
                <w:szCs w:val="20"/>
              </w:rPr>
            </w:pPr>
          </w:p>
        </w:tc>
        <w:tc>
          <w:tcPr>
            <w:tcW w:w="686" w:type="pct"/>
            <w:vMerge w:val="continue"/>
            <w:tcBorders>
              <w:top w:val="nil"/>
              <w:left w:val="single" w:color="auto" w:sz="4" w:space="0"/>
              <w:bottom w:val="single" w:color="auto" w:sz="4" w:space="0"/>
              <w:right w:val="single" w:color="auto" w:sz="4" w:space="0"/>
            </w:tcBorders>
            <w:vAlign w:val="center"/>
          </w:tcPr>
          <w:p w14:paraId="151180F3">
            <w:pPr>
              <w:widowControl/>
              <w:jc w:val="left"/>
              <w:rPr>
                <w:rFonts w:hint="eastAsia" w:cs="宋体" w:asciiTheme="minorEastAsia" w:hAnsiTheme="minorEastAsia" w:eastAsiaTheme="minorEastAsia"/>
                <w:kern w:val="0"/>
                <w:sz w:val="20"/>
                <w:szCs w:val="20"/>
              </w:rPr>
            </w:pPr>
          </w:p>
        </w:tc>
        <w:tc>
          <w:tcPr>
            <w:tcW w:w="665" w:type="pct"/>
            <w:tcBorders>
              <w:top w:val="nil"/>
              <w:left w:val="nil"/>
              <w:bottom w:val="single" w:color="auto" w:sz="4" w:space="0"/>
              <w:right w:val="single" w:color="auto" w:sz="4" w:space="0"/>
            </w:tcBorders>
            <w:shd w:val="clear" w:color="auto" w:fill="auto"/>
            <w:vAlign w:val="center"/>
          </w:tcPr>
          <w:p w14:paraId="5B8CAB7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地面碘化银烟炉作业次数</w:t>
            </w:r>
          </w:p>
        </w:tc>
        <w:tc>
          <w:tcPr>
            <w:tcW w:w="539" w:type="pct"/>
            <w:tcBorders>
              <w:top w:val="nil"/>
              <w:left w:val="nil"/>
              <w:bottom w:val="single" w:color="auto" w:sz="4" w:space="0"/>
              <w:right w:val="single" w:color="auto" w:sz="4" w:space="0"/>
            </w:tcBorders>
            <w:shd w:val="clear" w:color="auto" w:fill="auto"/>
            <w:vAlign w:val="center"/>
          </w:tcPr>
          <w:p w14:paraId="3E9ACF1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&gt;=20次</w:t>
            </w:r>
          </w:p>
        </w:tc>
        <w:tc>
          <w:tcPr>
            <w:tcW w:w="560" w:type="pct"/>
            <w:tcBorders>
              <w:top w:val="nil"/>
              <w:left w:val="nil"/>
              <w:bottom w:val="single" w:color="auto" w:sz="4" w:space="0"/>
              <w:right w:val="single" w:color="auto" w:sz="4" w:space="0"/>
            </w:tcBorders>
            <w:shd w:val="clear" w:color="auto" w:fill="auto"/>
            <w:vAlign w:val="center"/>
          </w:tcPr>
          <w:p w14:paraId="5408986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木垒哈萨克自治县人工影响天气办公室（气象灾害防御中心）2023年工作计划</w:t>
            </w:r>
          </w:p>
        </w:tc>
        <w:tc>
          <w:tcPr>
            <w:tcW w:w="426" w:type="pct"/>
            <w:tcBorders>
              <w:top w:val="nil"/>
              <w:left w:val="nil"/>
              <w:bottom w:val="single" w:color="auto" w:sz="4" w:space="0"/>
              <w:right w:val="single" w:color="auto" w:sz="4" w:space="0"/>
            </w:tcBorders>
            <w:shd w:val="clear" w:color="auto" w:fill="auto"/>
            <w:vAlign w:val="center"/>
          </w:tcPr>
          <w:p w14:paraId="68CB6D7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w:t>
            </w:r>
          </w:p>
        </w:tc>
        <w:tc>
          <w:tcPr>
            <w:tcW w:w="503" w:type="pct"/>
            <w:tcBorders>
              <w:top w:val="nil"/>
              <w:left w:val="nil"/>
              <w:bottom w:val="single" w:color="auto" w:sz="4" w:space="0"/>
              <w:right w:val="single" w:color="auto" w:sz="4" w:space="0"/>
            </w:tcBorders>
            <w:shd w:val="clear" w:color="auto" w:fill="auto"/>
            <w:vAlign w:val="center"/>
          </w:tcPr>
          <w:p w14:paraId="5F33B4C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20次</w:t>
            </w:r>
          </w:p>
        </w:tc>
        <w:tc>
          <w:tcPr>
            <w:tcW w:w="509" w:type="pct"/>
            <w:tcBorders>
              <w:top w:val="nil"/>
              <w:left w:val="nil"/>
              <w:bottom w:val="single" w:color="auto" w:sz="4" w:space="0"/>
              <w:right w:val="single" w:color="auto" w:sz="4" w:space="0"/>
            </w:tcBorders>
            <w:shd w:val="clear" w:color="auto" w:fill="auto"/>
            <w:vAlign w:val="center"/>
          </w:tcPr>
          <w:p w14:paraId="5DAB908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w:t>
            </w:r>
          </w:p>
        </w:tc>
      </w:tr>
      <w:tr w14:paraId="00171B50">
        <w:tblPrEx>
          <w:tblCellMar>
            <w:top w:w="0" w:type="dxa"/>
            <w:left w:w="108" w:type="dxa"/>
            <w:bottom w:w="0" w:type="dxa"/>
            <w:right w:w="108" w:type="dxa"/>
          </w:tblCellMar>
        </w:tblPrEx>
        <w:trPr>
          <w:trHeight w:val="741" w:hRule="atLeast"/>
        </w:trPr>
        <w:tc>
          <w:tcPr>
            <w:tcW w:w="1112" w:type="pct"/>
            <w:vMerge w:val="continue"/>
            <w:tcBorders>
              <w:top w:val="single" w:color="auto" w:sz="4" w:space="0"/>
              <w:left w:val="single" w:color="auto" w:sz="4" w:space="0"/>
              <w:bottom w:val="single" w:color="auto" w:sz="4" w:space="0"/>
              <w:right w:val="single" w:color="auto" w:sz="4" w:space="0"/>
            </w:tcBorders>
            <w:vAlign w:val="center"/>
          </w:tcPr>
          <w:p w14:paraId="32DC4A2B">
            <w:pPr>
              <w:widowControl/>
              <w:jc w:val="left"/>
              <w:rPr>
                <w:rFonts w:hint="eastAsia" w:cs="宋体" w:asciiTheme="minorEastAsia" w:hAnsiTheme="minorEastAsia" w:eastAsiaTheme="minorEastAsia"/>
                <w:kern w:val="0"/>
                <w:sz w:val="20"/>
                <w:szCs w:val="20"/>
              </w:rPr>
            </w:pPr>
          </w:p>
        </w:tc>
        <w:tc>
          <w:tcPr>
            <w:tcW w:w="686" w:type="pct"/>
            <w:tcBorders>
              <w:top w:val="nil"/>
              <w:left w:val="nil"/>
              <w:bottom w:val="single" w:color="auto" w:sz="4" w:space="0"/>
              <w:right w:val="single" w:color="auto" w:sz="4" w:space="0"/>
            </w:tcBorders>
            <w:shd w:val="clear" w:color="auto" w:fill="auto"/>
            <w:vAlign w:val="center"/>
          </w:tcPr>
          <w:p w14:paraId="481617C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xml:space="preserve">质量指标 </w:t>
            </w:r>
          </w:p>
        </w:tc>
        <w:tc>
          <w:tcPr>
            <w:tcW w:w="665" w:type="pct"/>
            <w:tcBorders>
              <w:top w:val="nil"/>
              <w:left w:val="nil"/>
              <w:bottom w:val="single" w:color="auto" w:sz="4" w:space="0"/>
              <w:right w:val="single" w:color="auto" w:sz="4" w:space="0"/>
            </w:tcBorders>
            <w:shd w:val="clear" w:color="auto" w:fill="auto"/>
            <w:vAlign w:val="center"/>
          </w:tcPr>
          <w:p w14:paraId="129C1EE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人影安全责任事故率</w:t>
            </w:r>
          </w:p>
        </w:tc>
        <w:tc>
          <w:tcPr>
            <w:tcW w:w="539" w:type="pct"/>
            <w:tcBorders>
              <w:top w:val="nil"/>
              <w:left w:val="nil"/>
              <w:bottom w:val="single" w:color="auto" w:sz="4" w:space="0"/>
              <w:right w:val="single" w:color="auto" w:sz="4" w:space="0"/>
            </w:tcBorders>
            <w:shd w:val="clear" w:color="auto" w:fill="auto"/>
            <w:vAlign w:val="center"/>
          </w:tcPr>
          <w:p w14:paraId="0A5AD22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w:t>
            </w:r>
          </w:p>
        </w:tc>
        <w:tc>
          <w:tcPr>
            <w:tcW w:w="560" w:type="pct"/>
            <w:tcBorders>
              <w:top w:val="nil"/>
              <w:left w:val="nil"/>
              <w:bottom w:val="single" w:color="auto" w:sz="4" w:space="0"/>
              <w:right w:val="single" w:color="auto" w:sz="4" w:space="0"/>
            </w:tcBorders>
            <w:shd w:val="clear" w:color="auto" w:fill="auto"/>
            <w:vAlign w:val="center"/>
          </w:tcPr>
          <w:p w14:paraId="593BC44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木垒哈萨克自治县人工影响天气办公室（气象灾害防御中心）2023年工作计划</w:t>
            </w:r>
          </w:p>
        </w:tc>
        <w:tc>
          <w:tcPr>
            <w:tcW w:w="426" w:type="pct"/>
            <w:tcBorders>
              <w:top w:val="nil"/>
              <w:left w:val="nil"/>
              <w:bottom w:val="single" w:color="auto" w:sz="4" w:space="0"/>
              <w:right w:val="single" w:color="auto" w:sz="4" w:space="0"/>
            </w:tcBorders>
            <w:shd w:val="clear" w:color="auto" w:fill="auto"/>
            <w:vAlign w:val="center"/>
          </w:tcPr>
          <w:p w14:paraId="64E6C46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503" w:type="pct"/>
            <w:tcBorders>
              <w:top w:val="nil"/>
              <w:left w:val="nil"/>
              <w:bottom w:val="single" w:color="auto" w:sz="4" w:space="0"/>
              <w:right w:val="single" w:color="auto" w:sz="4" w:space="0"/>
            </w:tcBorders>
            <w:shd w:val="clear" w:color="auto" w:fill="auto"/>
            <w:vAlign w:val="center"/>
          </w:tcPr>
          <w:p w14:paraId="04092B4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w:t>
            </w:r>
          </w:p>
        </w:tc>
        <w:tc>
          <w:tcPr>
            <w:tcW w:w="509" w:type="pct"/>
            <w:tcBorders>
              <w:top w:val="nil"/>
              <w:left w:val="nil"/>
              <w:bottom w:val="single" w:color="auto" w:sz="4" w:space="0"/>
              <w:right w:val="single" w:color="auto" w:sz="4" w:space="0"/>
            </w:tcBorders>
            <w:shd w:val="clear" w:color="auto" w:fill="auto"/>
            <w:vAlign w:val="center"/>
          </w:tcPr>
          <w:p w14:paraId="6ECE6C2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r w14:paraId="195FFAF4">
        <w:tblPrEx>
          <w:tblCellMar>
            <w:top w:w="0" w:type="dxa"/>
            <w:left w:w="108" w:type="dxa"/>
            <w:bottom w:w="0" w:type="dxa"/>
            <w:right w:w="108" w:type="dxa"/>
          </w:tblCellMar>
        </w:tblPrEx>
        <w:trPr>
          <w:trHeight w:val="741" w:hRule="atLeast"/>
        </w:trPr>
        <w:tc>
          <w:tcPr>
            <w:tcW w:w="1112"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17F8024">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社会效益</w:t>
            </w:r>
          </w:p>
        </w:tc>
        <w:tc>
          <w:tcPr>
            <w:tcW w:w="686" w:type="pct"/>
            <w:tcBorders>
              <w:top w:val="nil"/>
              <w:left w:val="nil"/>
              <w:bottom w:val="single" w:color="auto" w:sz="4" w:space="0"/>
              <w:right w:val="single" w:color="auto" w:sz="4" w:space="0"/>
            </w:tcBorders>
            <w:shd w:val="clear" w:color="auto" w:fill="auto"/>
            <w:noWrap/>
            <w:vAlign w:val="center"/>
          </w:tcPr>
          <w:p w14:paraId="6363A1C5">
            <w:pPr>
              <w:widowControl/>
              <w:jc w:val="left"/>
              <w:rPr>
                <w:rFonts w:hint="eastAsia" w:cs="宋体" w:asciiTheme="minorEastAsia" w:hAnsiTheme="minorEastAsia" w:eastAsiaTheme="minorEastAsia"/>
                <w:kern w:val="0"/>
                <w:sz w:val="20"/>
                <w:szCs w:val="20"/>
              </w:rPr>
            </w:pPr>
          </w:p>
        </w:tc>
        <w:tc>
          <w:tcPr>
            <w:tcW w:w="665" w:type="pct"/>
            <w:tcBorders>
              <w:top w:val="nil"/>
              <w:left w:val="nil"/>
              <w:bottom w:val="single" w:color="auto" w:sz="4" w:space="0"/>
              <w:right w:val="single" w:color="auto" w:sz="4" w:space="0"/>
            </w:tcBorders>
            <w:shd w:val="clear" w:color="auto" w:fill="auto"/>
            <w:noWrap/>
            <w:vAlign w:val="center"/>
          </w:tcPr>
          <w:p w14:paraId="0041EF03">
            <w:pPr>
              <w:widowControl/>
              <w:jc w:val="left"/>
              <w:rPr>
                <w:rFonts w:hint="eastAsia" w:cs="宋体" w:asciiTheme="minorEastAsia" w:hAnsiTheme="minorEastAsia" w:eastAsiaTheme="minorEastAsia"/>
                <w:kern w:val="0"/>
                <w:sz w:val="20"/>
                <w:szCs w:val="20"/>
              </w:rPr>
            </w:pPr>
          </w:p>
        </w:tc>
        <w:tc>
          <w:tcPr>
            <w:tcW w:w="539" w:type="pct"/>
            <w:tcBorders>
              <w:top w:val="nil"/>
              <w:left w:val="nil"/>
              <w:bottom w:val="single" w:color="auto" w:sz="4" w:space="0"/>
              <w:right w:val="single" w:color="auto" w:sz="4" w:space="0"/>
            </w:tcBorders>
            <w:shd w:val="clear" w:color="auto" w:fill="auto"/>
            <w:noWrap/>
            <w:vAlign w:val="center"/>
          </w:tcPr>
          <w:p w14:paraId="7C7AEB53">
            <w:pPr>
              <w:widowControl/>
              <w:jc w:val="left"/>
              <w:rPr>
                <w:rFonts w:hint="eastAsia" w:cs="宋体" w:asciiTheme="minorEastAsia" w:hAnsiTheme="minorEastAsia" w:eastAsiaTheme="minorEastAsia"/>
                <w:kern w:val="0"/>
                <w:sz w:val="20"/>
                <w:szCs w:val="20"/>
              </w:rPr>
            </w:pPr>
          </w:p>
        </w:tc>
        <w:tc>
          <w:tcPr>
            <w:tcW w:w="560" w:type="pct"/>
            <w:tcBorders>
              <w:top w:val="nil"/>
              <w:left w:val="nil"/>
              <w:bottom w:val="single" w:color="auto" w:sz="4" w:space="0"/>
              <w:right w:val="single" w:color="auto" w:sz="4" w:space="0"/>
            </w:tcBorders>
            <w:shd w:val="clear" w:color="auto" w:fill="auto"/>
            <w:noWrap/>
            <w:vAlign w:val="center"/>
          </w:tcPr>
          <w:p w14:paraId="12A2D9ED">
            <w:pPr>
              <w:widowControl/>
              <w:jc w:val="left"/>
              <w:rPr>
                <w:rFonts w:hint="eastAsia" w:cs="宋体" w:asciiTheme="minorEastAsia" w:hAnsiTheme="minorEastAsia" w:eastAsiaTheme="minorEastAsia"/>
                <w:kern w:val="0"/>
                <w:sz w:val="20"/>
                <w:szCs w:val="20"/>
              </w:rPr>
            </w:pPr>
          </w:p>
        </w:tc>
        <w:tc>
          <w:tcPr>
            <w:tcW w:w="426" w:type="pct"/>
            <w:tcBorders>
              <w:top w:val="nil"/>
              <w:left w:val="nil"/>
              <w:bottom w:val="single" w:color="auto" w:sz="4" w:space="0"/>
              <w:right w:val="single" w:color="auto" w:sz="4" w:space="0"/>
            </w:tcBorders>
            <w:shd w:val="clear" w:color="auto" w:fill="auto"/>
            <w:noWrap/>
            <w:vAlign w:val="center"/>
          </w:tcPr>
          <w:p w14:paraId="0C8F03E3">
            <w:pPr>
              <w:widowControl/>
              <w:jc w:val="left"/>
              <w:rPr>
                <w:rFonts w:hint="eastAsia" w:cs="宋体" w:asciiTheme="minorEastAsia" w:hAnsiTheme="minorEastAsia" w:eastAsiaTheme="minorEastAsia"/>
                <w:kern w:val="0"/>
                <w:sz w:val="20"/>
                <w:szCs w:val="20"/>
              </w:rPr>
            </w:pPr>
          </w:p>
        </w:tc>
        <w:tc>
          <w:tcPr>
            <w:tcW w:w="503" w:type="pct"/>
            <w:tcBorders>
              <w:top w:val="nil"/>
              <w:left w:val="nil"/>
              <w:bottom w:val="single" w:color="auto" w:sz="4" w:space="0"/>
              <w:right w:val="single" w:color="auto" w:sz="4" w:space="0"/>
            </w:tcBorders>
            <w:shd w:val="clear" w:color="auto" w:fill="auto"/>
            <w:noWrap/>
            <w:vAlign w:val="center"/>
          </w:tcPr>
          <w:p w14:paraId="6594C413">
            <w:pPr>
              <w:widowControl/>
              <w:jc w:val="left"/>
              <w:rPr>
                <w:rFonts w:hint="eastAsia" w:cs="宋体" w:asciiTheme="minorEastAsia" w:hAnsiTheme="minorEastAsia" w:eastAsiaTheme="minorEastAsia"/>
                <w:kern w:val="0"/>
                <w:sz w:val="20"/>
                <w:szCs w:val="20"/>
              </w:rPr>
            </w:pPr>
          </w:p>
        </w:tc>
        <w:tc>
          <w:tcPr>
            <w:tcW w:w="509" w:type="pct"/>
            <w:tcBorders>
              <w:top w:val="nil"/>
              <w:left w:val="nil"/>
              <w:bottom w:val="single" w:color="auto" w:sz="4" w:space="0"/>
              <w:right w:val="single" w:color="auto" w:sz="4" w:space="0"/>
            </w:tcBorders>
            <w:shd w:val="clear" w:color="auto" w:fill="auto"/>
            <w:noWrap/>
            <w:vAlign w:val="center"/>
          </w:tcPr>
          <w:p w14:paraId="1732F7FA">
            <w:pPr>
              <w:widowControl/>
              <w:jc w:val="left"/>
              <w:rPr>
                <w:rFonts w:hint="eastAsia" w:cs="宋体" w:asciiTheme="minorEastAsia" w:hAnsiTheme="minorEastAsia" w:eastAsiaTheme="minorEastAsia"/>
                <w:kern w:val="0"/>
                <w:sz w:val="20"/>
                <w:szCs w:val="20"/>
              </w:rPr>
            </w:pPr>
          </w:p>
        </w:tc>
      </w:tr>
      <w:tr w14:paraId="3C7C402E">
        <w:tblPrEx>
          <w:tblCellMar>
            <w:top w:w="0" w:type="dxa"/>
            <w:left w:w="108" w:type="dxa"/>
            <w:bottom w:w="0" w:type="dxa"/>
            <w:right w:w="108" w:type="dxa"/>
          </w:tblCellMar>
        </w:tblPrEx>
        <w:trPr>
          <w:trHeight w:val="741" w:hRule="atLeast"/>
        </w:trPr>
        <w:tc>
          <w:tcPr>
            <w:tcW w:w="1112"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22B20E9">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可持续发展能力</w:t>
            </w:r>
          </w:p>
        </w:tc>
        <w:tc>
          <w:tcPr>
            <w:tcW w:w="686" w:type="pct"/>
            <w:tcBorders>
              <w:top w:val="nil"/>
              <w:left w:val="nil"/>
              <w:bottom w:val="single" w:color="auto" w:sz="4" w:space="0"/>
              <w:right w:val="single" w:color="auto" w:sz="4" w:space="0"/>
            </w:tcBorders>
            <w:shd w:val="clear" w:color="auto" w:fill="auto"/>
            <w:noWrap/>
            <w:vAlign w:val="center"/>
          </w:tcPr>
          <w:p w14:paraId="1B9A3BF3">
            <w:pPr>
              <w:widowControl/>
              <w:jc w:val="left"/>
              <w:rPr>
                <w:rFonts w:hint="eastAsia" w:cs="宋体" w:asciiTheme="minorEastAsia" w:hAnsiTheme="minorEastAsia" w:eastAsiaTheme="minorEastAsia"/>
                <w:kern w:val="0"/>
                <w:sz w:val="20"/>
                <w:szCs w:val="20"/>
              </w:rPr>
            </w:pPr>
          </w:p>
        </w:tc>
        <w:tc>
          <w:tcPr>
            <w:tcW w:w="665" w:type="pct"/>
            <w:tcBorders>
              <w:top w:val="nil"/>
              <w:left w:val="nil"/>
              <w:bottom w:val="single" w:color="auto" w:sz="4" w:space="0"/>
              <w:right w:val="single" w:color="auto" w:sz="4" w:space="0"/>
            </w:tcBorders>
            <w:shd w:val="clear" w:color="auto" w:fill="auto"/>
            <w:noWrap/>
            <w:vAlign w:val="center"/>
          </w:tcPr>
          <w:p w14:paraId="06FAA0B0">
            <w:pPr>
              <w:widowControl/>
              <w:jc w:val="left"/>
              <w:rPr>
                <w:rFonts w:hint="eastAsia" w:cs="宋体" w:asciiTheme="minorEastAsia" w:hAnsiTheme="minorEastAsia" w:eastAsiaTheme="minorEastAsia"/>
                <w:kern w:val="0"/>
                <w:sz w:val="20"/>
                <w:szCs w:val="20"/>
              </w:rPr>
            </w:pPr>
          </w:p>
        </w:tc>
        <w:tc>
          <w:tcPr>
            <w:tcW w:w="539" w:type="pct"/>
            <w:tcBorders>
              <w:top w:val="nil"/>
              <w:left w:val="nil"/>
              <w:bottom w:val="single" w:color="auto" w:sz="4" w:space="0"/>
              <w:right w:val="single" w:color="auto" w:sz="4" w:space="0"/>
            </w:tcBorders>
            <w:shd w:val="clear" w:color="auto" w:fill="auto"/>
            <w:noWrap/>
            <w:vAlign w:val="center"/>
          </w:tcPr>
          <w:p w14:paraId="57F33762">
            <w:pPr>
              <w:widowControl/>
              <w:jc w:val="left"/>
              <w:rPr>
                <w:rFonts w:hint="eastAsia" w:cs="宋体" w:asciiTheme="minorEastAsia" w:hAnsiTheme="minorEastAsia" w:eastAsiaTheme="minorEastAsia"/>
                <w:kern w:val="0"/>
                <w:sz w:val="20"/>
                <w:szCs w:val="20"/>
              </w:rPr>
            </w:pPr>
          </w:p>
        </w:tc>
        <w:tc>
          <w:tcPr>
            <w:tcW w:w="560" w:type="pct"/>
            <w:tcBorders>
              <w:top w:val="nil"/>
              <w:left w:val="nil"/>
              <w:bottom w:val="single" w:color="auto" w:sz="4" w:space="0"/>
              <w:right w:val="single" w:color="auto" w:sz="4" w:space="0"/>
            </w:tcBorders>
            <w:shd w:val="clear" w:color="auto" w:fill="auto"/>
            <w:noWrap/>
            <w:vAlign w:val="center"/>
          </w:tcPr>
          <w:p w14:paraId="28A09454">
            <w:pPr>
              <w:widowControl/>
              <w:jc w:val="left"/>
              <w:rPr>
                <w:rFonts w:hint="eastAsia" w:cs="宋体" w:asciiTheme="minorEastAsia" w:hAnsiTheme="minorEastAsia" w:eastAsiaTheme="minorEastAsia"/>
                <w:kern w:val="0"/>
                <w:sz w:val="20"/>
                <w:szCs w:val="20"/>
              </w:rPr>
            </w:pPr>
          </w:p>
        </w:tc>
        <w:tc>
          <w:tcPr>
            <w:tcW w:w="426" w:type="pct"/>
            <w:tcBorders>
              <w:top w:val="nil"/>
              <w:left w:val="nil"/>
              <w:bottom w:val="single" w:color="auto" w:sz="4" w:space="0"/>
              <w:right w:val="single" w:color="auto" w:sz="4" w:space="0"/>
            </w:tcBorders>
            <w:shd w:val="clear" w:color="auto" w:fill="auto"/>
            <w:noWrap/>
            <w:vAlign w:val="center"/>
          </w:tcPr>
          <w:p w14:paraId="3367194E">
            <w:pPr>
              <w:widowControl/>
              <w:jc w:val="left"/>
              <w:rPr>
                <w:rFonts w:hint="eastAsia" w:cs="宋体" w:asciiTheme="minorEastAsia" w:hAnsiTheme="minorEastAsia" w:eastAsiaTheme="minorEastAsia"/>
                <w:kern w:val="0"/>
                <w:sz w:val="20"/>
                <w:szCs w:val="20"/>
              </w:rPr>
            </w:pPr>
          </w:p>
        </w:tc>
        <w:tc>
          <w:tcPr>
            <w:tcW w:w="503" w:type="pct"/>
            <w:tcBorders>
              <w:top w:val="nil"/>
              <w:left w:val="nil"/>
              <w:bottom w:val="single" w:color="auto" w:sz="4" w:space="0"/>
              <w:right w:val="single" w:color="auto" w:sz="4" w:space="0"/>
            </w:tcBorders>
            <w:shd w:val="clear" w:color="auto" w:fill="auto"/>
            <w:noWrap/>
            <w:vAlign w:val="center"/>
          </w:tcPr>
          <w:p w14:paraId="1542A76C">
            <w:pPr>
              <w:widowControl/>
              <w:jc w:val="left"/>
              <w:rPr>
                <w:rFonts w:hint="eastAsia" w:cs="宋体" w:asciiTheme="minorEastAsia" w:hAnsiTheme="minorEastAsia" w:eastAsiaTheme="minorEastAsia"/>
                <w:kern w:val="0"/>
                <w:sz w:val="20"/>
                <w:szCs w:val="20"/>
              </w:rPr>
            </w:pPr>
          </w:p>
        </w:tc>
        <w:tc>
          <w:tcPr>
            <w:tcW w:w="509" w:type="pct"/>
            <w:tcBorders>
              <w:top w:val="nil"/>
              <w:left w:val="nil"/>
              <w:bottom w:val="single" w:color="auto" w:sz="4" w:space="0"/>
              <w:right w:val="single" w:color="auto" w:sz="4" w:space="0"/>
            </w:tcBorders>
            <w:shd w:val="clear" w:color="auto" w:fill="auto"/>
            <w:noWrap/>
            <w:vAlign w:val="center"/>
          </w:tcPr>
          <w:p w14:paraId="391D84CB">
            <w:pPr>
              <w:widowControl/>
              <w:jc w:val="left"/>
              <w:rPr>
                <w:rFonts w:hint="eastAsia" w:cs="宋体" w:asciiTheme="minorEastAsia" w:hAnsiTheme="minorEastAsia" w:eastAsiaTheme="minorEastAsia"/>
                <w:kern w:val="0"/>
                <w:sz w:val="20"/>
                <w:szCs w:val="20"/>
              </w:rPr>
            </w:pPr>
          </w:p>
        </w:tc>
      </w:tr>
      <w:tr w14:paraId="5C77CCC1">
        <w:tblPrEx>
          <w:tblCellMar>
            <w:top w:w="0" w:type="dxa"/>
            <w:left w:w="108" w:type="dxa"/>
            <w:bottom w:w="0" w:type="dxa"/>
            <w:right w:w="108" w:type="dxa"/>
          </w:tblCellMar>
        </w:tblPrEx>
        <w:trPr>
          <w:trHeight w:val="741" w:hRule="atLeast"/>
        </w:trPr>
        <w:tc>
          <w:tcPr>
            <w:tcW w:w="1112"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5B6F5CA">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服务对象满意度</w:t>
            </w:r>
          </w:p>
        </w:tc>
        <w:tc>
          <w:tcPr>
            <w:tcW w:w="686" w:type="pct"/>
            <w:tcBorders>
              <w:top w:val="nil"/>
              <w:left w:val="nil"/>
              <w:bottom w:val="single" w:color="auto" w:sz="4" w:space="0"/>
              <w:right w:val="single" w:color="auto" w:sz="4" w:space="0"/>
            </w:tcBorders>
            <w:shd w:val="clear" w:color="auto" w:fill="auto"/>
            <w:noWrap/>
            <w:vAlign w:val="center"/>
          </w:tcPr>
          <w:p w14:paraId="56FFE806">
            <w:pPr>
              <w:widowControl/>
              <w:jc w:val="left"/>
              <w:rPr>
                <w:rFonts w:hint="eastAsia" w:cs="宋体" w:asciiTheme="minorEastAsia" w:hAnsiTheme="minorEastAsia" w:eastAsiaTheme="minorEastAsia"/>
                <w:kern w:val="0"/>
                <w:sz w:val="20"/>
                <w:szCs w:val="20"/>
              </w:rPr>
            </w:pPr>
          </w:p>
        </w:tc>
        <w:tc>
          <w:tcPr>
            <w:tcW w:w="665" w:type="pct"/>
            <w:tcBorders>
              <w:top w:val="nil"/>
              <w:left w:val="nil"/>
              <w:bottom w:val="single" w:color="auto" w:sz="4" w:space="0"/>
              <w:right w:val="single" w:color="auto" w:sz="4" w:space="0"/>
            </w:tcBorders>
            <w:shd w:val="clear" w:color="auto" w:fill="auto"/>
            <w:noWrap/>
            <w:vAlign w:val="center"/>
          </w:tcPr>
          <w:p w14:paraId="32751D60">
            <w:pPr>
              <w:widowControl/>
              <w:jc w:val="left"/>
              <w:rPr>
                <w:rFonts w:hint="eastAsia" w:cs="宋体" w:asciiTheme="minorEastAsia" w:hAnsiTheme="minorEastAsia" w:eastAsiaTheme="minorEastAsia"/>
                <w:kern w:val="0"/>
                <w:sz w:val="20"/>
                <w:szCs w:val="20"/>
              </w:rPr>
            </w:pPr>
          </w:p>
        </w:tc>
        <w:tc>
          <w:tcPr>
            <w:tcW w:w="539" w:type="pct"/>
            <w:tcBorders>
              <w:top w:val="nil"/>
              <w:left w:val="nil"/>
              <w:bottom w:val="single" w:color="auto" w:sz="4" w:space="0"/>
              <w:right w:val="single" w:color="auto" w:sz="4" w:space="0"/>
            </w:tcBorders>
            <w:shd w:val="clear" w:color="auto" w:fill="auto"/>
            <w:noWrap/>
            <w:vAlign w:val="center"/>
          </w:tcPr>
          <w:p w14:paraId="51F4B4A1">
            <w:pPr>
              <w:widowControl/>
              <w:jc w:val="left"/>
              <w:rPr>
                <w:rFonts w:hint="eastAsia" w:cs="宋体" w:asciiTheme="minorEastAsia" w:hAnsiTheme="minorEastAsia" w:eastAsiaTheme="minorEastAsia"/>
                <w:kern w:val="0"/>
                <w:sz w:val="20"/>
                <w:szCs w:val="20"/>
              </w:rPr>
            </w:pPr>
          </w:p>
        </w:tc>
        <w:tc>
          <w:tcPr>
            <w:tcW w:w="560" w:type="pct"/>
            <w:tcBorders>
              <w:top w:val="nil"/>
              <w:left w:val="nil"/>
              <w:bottom w:val="single" w:color="auto" w:sz="4" w:space="0"/>
              <w:right w:val="single" w:color="auto" w:sz="4" w:space="0"/>
            </w:tcBorders>
            <w:shd w:val="clear" w:color="auto" w:fill="auto"/>
            <w:noWrap/>
            <w:vAlign w:val="center"/>
          </w:tcPr>
          <w:p w14:paraId="33C26CA4">
            <w:pPr>
              <w:widowControl/>
              <w:jc w:val="left"/>
              <w:rPr>
                <w:rFonts w:hint="eastAsia" w:cs="宋体" w:asciiTheme="minorEastAsia" w:hAnsiTheme="minorEastAsia" w:eastAsiaTheme="minorEastAsia"/>
                <w:kern w:val="0"/>
                <w:sz w:val="20"/>
                <w:szCs w:val="20"/>
              </w:rPr>
            </w:pPr>
          </w:p>
        </w:tc>
        <w:tc>
          <w:tcPr>
            <w:tcW w:w="426" w:type="pct"/>
            <w:tcBorders>
              <w:top w:val="nil"/>
              <w:left w:val="nil"/>
              <w:bottom w:val="single" w:color="auto" w:sz="4" w:space="0"/>
              <w:right w:val="single" w:color="auto" w:sz="4" w:space="0"/>
            </w:tcBorders>
            <w:shd w:val="clear" w:color="auto" w:fill="auto"/>
            <w:noWrap/>
            <w:vAlign w:val="center"/>
          </w:tcPr>
          <w:p w14:paraId="44CE957C">
            <w:pPr>
              <w:widowControl/>
              <w:jc w:val="left"/>
              <w:rPr>
                <w:rFonts w:hint="eastAsia" w:cs="宋体" w:asciiTheme="minorEastAsia" w:hAnsiTheme="minorEastAsia" w:eastAsiaTheme="minorEastAsia"/>
                <w:kern w:val="0"/>
                <w:sz w:val="20"/>
                <w:szCs w:val="20"/>
              </w:rPr>
            </w:pPr>
          </w:p>
        </w:tc>
        <w:tc>
          <w:tcPr>
            <w:tcW w:w="503" w:type="pct"/>
            <w:tcBorders>
              <w:top w:val="nil"/>
              <w:left w:val="nil"/>
              <w:bottom w:val="single" w:color="auto" w:sz="4" w:space="0"/>
              <w:right w:val="single" w:color="auto" w:sz="4" w:space="0"/>
            </w:tcBorders>
            <w:shd w:val="clear" w:color="auto" w:fill="auto"/>
            <w:noWrap/>
            <w:vAlign w:val="center"/>
          </w:tcPr>
          <w:p w14:paraId="4449A1F2">
            <w:pPr>
              <w:widowControl/>
              <w:jc w:val="left"/>
              <w:rPr>
                <w:rFonts w:hint="eastAsia" w:cs="宋体" w:asciiTheme="minorEastAsia" w:hAnsiTheme="minorEastAsia" w:eastAsiaTheme="minorEastAsia"/>
                <w:kern w:val="0"/>
                <w:sz w:val="20"/>
                <w:szCs w:val="20"/>
              </w:rPr>
            </w:pPr>
          </w:p>
        </w:tc>
        <w:tc>
          <w:tcPr>
            <w:tcW w:w="509" w:type="pct"/>
            <w:tcBorders>
              <w:top w:val="nil"/>
              <w:left w:val="nil"/>
              <w:bottom w:val="single" w:color="auto" w:sz="4" w:space="0"/>
              <w:right w:val="single" w:color="auto" w:sz="4" w:space="0"/>
            </w:tcBorders>
            <w:shd w:val="clear" w:color="auto" w:fill="auto"/>
            <w:noWrap/>
            <w:vAlign w:val="center"/>
          </w:tcPr>
          <w:p w14:paraId="57D689F8">
            <w:pPr>
              <w:widowControl/>
              <w:jc w:val="left"/>
              <w:rPr>
                <w:rFonts w:hint="eastAsia" w:cs="宋体" w:asciiTheme="minorEastAsia" w:hAnsiTheme="minorEastAsia" w:eastAsiaTheme="minorEastAsia"/>
                <w:kern w:val="0"/>
                <w:sz w:val="20"/>
                <w:szCs w:val="20"/>
              </w:rPr>
            </w:pPr>
          </w:p>
        </w:tc>
      </w:tr>
    </w:tbl>
    <w:p w14:paraId="74886409">
      <w:pPr>
        <w:ind w:firstLine="640" w:firstLineChars="200"/>
        <w:jc w:val="left"/>
        <w:rPr>
          <w:rFonts w:hint="eastAsia" w:ascii="黑体" w:hAnsi="黑体" w:eastAsia="黑体" w:cs="宋体"/>
          <w:bCs/>
          <w:kern w:val="0"/>
          <w:sz w:val="32"/>
          <w:szCs w:val="32"/>
        </w:rPr>
      </w:pPr>
    </w:p>
    <w:p w14:paraId="748EBBFC">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22CEB406">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我单位本年资金紧张未购买办公用品及设备。因此政府采购金额支出为0.00万元。其中授予中小企业合同金额、授予小微企业合同金额为0.00万元。</w:t>
      </w:r>
    </w:p>
    <w:p w14:paraId="3403ADC4">
      <w:pPr>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0C2E0CF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5DB38A7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4BD3B5F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13F7E00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275A419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4C92F78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3D2FB0D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699F1E8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8635B1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36AA5BB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408D7DEE">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0F24F65F">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180C4500">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9BFC41A">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3CD2EEA4">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0319D137">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14:paraId="107BD0F9">
      <w:pPr>
        <w:ind w:firstLine="640" w:firstLineChars="200"/>
        <w:outlineLvl w:val="1"/>
        <w:rPr>
          <w:rFonts w:hint="eastAsia"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14:paraId="790C9774">
      <w:pPr>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14:paraId="731B3A6B">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14:paraId="769D0FAE">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14:paraId="026F8D50">
      <w:pPr>
        <w:ind w:firstLine="640" w:firstLineChars="200"/>
        <w:outlineLvl w:val="1"/>
        <w:rPr>
          <w:rFonts w:hint="eastAsia"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14:paraId="0C8CD65C">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14:paraId="120845EB">
      <w:pPr>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14:paraId="626EFF35">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574183B5">
      <w:pPr>
        <w:ind w:firstLine="640" w:firstLineChars="200"/>
        <w:rPr>
          <w:rFonts w:ascii="仿宋_GB2312" w:eastAsia="仿宋_GB2312"/>
          <w:sz w:val="32"/>
          <w:szCs w:val="32"/>
        </w:rPr>
      </w:pPr>
    </w:p>
    <w:p w14:paraId="0766AB0C">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029C59">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716BEE1">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716BEE1">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EE617E"/>
    <w:rsid w:val="001F0F35"/>
    <w:rsid w:val="001F4B67"/>
    <w:rsid w:val="00211BD1"/>
    <w:rsid w:val="00213C59"/>
    <w:rsid w:val="003210CE"/>
    <w:rsid w:val="00386EA3"/>
    <w:rsid w:val="003D775F"/>
    <w:rsid w:val="003F64AF"/>
    <w:rsid w:val="004458DB"/>
    <w:rsid w:val="00451D7E"/>
    <w:rsid w:val="00494FE6"/>
    <w:rsid w:val="00533264"/>
    <w:rsid w:val="0056690F"/>
    <w:rsid w:val="00596332"/>
    <w:rsid w:val="0061584A"/>
    <w:rsid w:val="006A1F22"/>
    <w:rsid w:val="0072632F"/>
    <w:rsid w:val="007757BC"/>
    <w:rsid w:val="0078598C"/>
    <w:rsid w:val="007D2B8A"/>
    <w:rsid w:val="007F4231"/>
    <w:rsid w:val="007F7250"/>
    <w:rsid w:val="00813E8C"/>
    <w:rsid w:val="00850153"/>
    <w:rsid w:val="00895200"/>
    <w:rsid w:val="009009B5"/>
    <w:rsid w:val="009E5B84"/>
    <w:rsid w:val="00A072B7"/>
    <w:rsid w:val="00A118FC"/>
    <w:rsid w:val="00A47132"/>
    <w:rsid w:val="00AB47B5"/>
    <w:rsid w:val="00B441CB"/>
    <w:rsid w:val="00B70D59"/>
    <w:rsid w:val="00B92A22"/>
    <w:rsid w:val="00BE6D2B"/>
    <w:rsid w:val="00C232EA"/>
    <w:rsid w:val="00D21666"/>
    <w:rsid w:val="00D34D80"/>
    <w:rsid w:val="00D44917"/>
    <w:rsid w:val="00DF520C"/>
    <w:rsid w:val="00E52232"/>
    <w:rsid w:val="00EB4CA0"/>
    <w:rsid w:val="00EE617E"/>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3943F2"/>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5785</Words>
  <Characters>6500</Characters>
  <Lines>54</Lines>
  <Paragraphs>15</Paragraphs>
  <TotalTime>3</TotalTime>
  <ScaleCrop>false</ScaleCrop>
  <LinksUpToDate>false</LinksUpToDate>
  <CharactersWithSpaces>6534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2024-12-09T07:27:39Z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ies>
</file>